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03" w:rsidRPr="008F360A" w:rsidRDefault="00781B03" w:rsidP="00B37DBC">
      <w:pPr>
        <w:pStyle w:val="Heading1"/>
        <w:spacing w:before="0" w:after="160"/>
        <w:jc w:val="center"/>
        <w:rPr>
          <w:rFonts w:ascii="Calibri" w:hAnsi="Calibri" w:cs="Calibri"/>
          <w:color w:val="5555B7" w:themeColor="accent6" w:themeShade="BF"/>
        </w:rPr>
      </w:pPr>
      <w:r w:rsidRPr="008F360A">
        <w:rPr>
          <w:rFonts w:ascii="Calibri" w:hAnsi="Calibri" w:cs="Calibri"/>
          <w:color w:val="5555B7" w:themeColor="accent6" w:themeShade="BF"/>
        </w:rPr>
        <w:t xml:space="preserve">Review of </w:t>
      </w:r>
      <w:r w:rsidR="007F3A11" w:rsidRPr="008F360A">
        <w:rPr>
          <w:rFonts w:ascii="Calibri" w:hAnsi="Calibri" w:cs="Calibri"/>
          <w:color w:val="5555B7" w:themeColor="accent6" w:themeShade="BF"/>
        </w:rPr>
        <w:t xml:space="preserve">Australia’s </w:t>
      </w:r>
      <w:r w:rsidRPr="008F360A">
        <w:rPr>
          <w:rFonts w:ascii="Calibri" w:hAnsi="Calibri" w:cs="Calibri"/>
          <w:color w:val="5555B7" w:themeColor="accent6" w:themeShade="BF"/>
        </w:rPr>
        <w:t xml:space="preserve">regulatory settings relating to health practitioner registration and skills and qualifications recognition </w:t>
      </w:r>
    </w:p>
    <w:p w:rsidR="18663625" w:rsidRPr="008F360A" w:rsidRDefault="18663625" w:rsidP="00B37DBC">
      <w:pPr>
        <w:pStyle w:val="Heading1"/>
        <w:spacing w:before="0" w:after="160"/>
        <w:jc w:val="center"/>
        <w:rPr>
          <w:rFonts w:ascii="Calibri" w:hAnsi="Calibri" w:cs="Calibri"/>
          <w:b/>
          <w:color w:val="5555B7" w:themeColor="accent6" w:themeShade="BF"/>
        </w:rPr>
      </w:pPr>
      <w:r w:rsidRPr="008F360A">
        <w:rPr>
          <w:rFonts w:ascii="Calibri" w:hAnsi="Calibri" w:cs="Calibri"/>
          <w:b/>
          <w:color w:val="5555B7" w:themeColor="accent6" w:themeShade="BF"/>
        </w:rPr>
        <w:t>Terms of Reference</w:t>
      </w:r>
    </w:p>
    <w:p w:rsidR="000130DC" w:rsidRPr="008F360A" w:rsidRDefault="000130DC" w:rsidP="00B37DBC">
      <w:pPr>
        <w:pStyle w:val="Heading2"/>
        <w:spacing w:before="0" w:after="160"/>
        <w:rPr>
          <w:rFonts w:ascii="Calibri" w:eastAsia="Calibri" w:hAnsi="Calibri" w:cs="Calibri"/>
          <w:color w:val="5555B7" w:themeColor="accent6" w:themeShade="BF"/>
        </w:rPr>
      </w:pPr>
      <w:r w:rsidRPr="008F360A">
        <w:rPr>
          <w:rFonts w:ascii="Calibri" w:hAnsi="Calibri" w:cs="Calibri"/>
          <w:color w:val="5555B7" w:themeColor="accent6" w:themeShade="BF"/>
        </w:rPr>
        <w:t>Background</w:t>
      </w:r>
    </w:p>
    <w:p w:rsidR="000130DC" w:rsidRPr="008F360A" w:rsidRDefault="000130DC" w:rsidP="00B37DBC">
      <w:pPr>
        <w:rPr>
          <w:rFonts w:ascii="Calibri" w:eastAsia="Calibri" w:hAnsi="Calibri" w:cs="Calibri"/>
        </w:rPr>
      </w:pPr>
      <w:r w:rsidRPr="008F360A">
        <w:rPr>
          <w:rFonts w:ascii="Calibri" w:eastAsia="Calibri" w:hAnsi="Calibri" w:cs="Calibri"/>
        </w:rPr>
        <w:t>On 30 September 2022, National Cabinet announced an independently-led, rapid review of the regulatory settings relating to health practitioner registration and qualification recognition</w:t>
      </w:r>
      <w:r w:rsidR="000A03D8" w:rsidRPr="008F360A">
        <w:rPr>
          <w:rFonts w:ascii="Calibri" w:eastAsia="Calibri" w:hAnsi="Calibri" w:cs="Calibri"/>
        </w:rPr>
        <w:t xml:space="preserve"> for overseas </w:t>
      </w:r>
      <w:r w:rsidR="0084178D" w:rsidRPr="008F360A">
        <w:rPr>
          <w:rFonts w:ascii="Calibri" w:eastAsia="Calibri" w:hAnsi="Calibri" w:cs="Calibri"/>
        </w:rPr>
        <w:t xml:space="preserve">trained </w:t>
      </w:r>
      <w:r w:rsidR="000A03D8" w:rsidRPr="008F360A">
        <w:rPr>
          <w:rFonts w:ascii="Calibri" w:eastAsia="Calibri" w:hAnsi="Calibri" w:cs="Calibri"/>
        </w:rPr>
        <w:t>health professionals</w:t>
      </w:r>
      <w:r w:rsidR="0084178D" w:rsidRPr="008F360A">
        <w:rPr>
          <w:rFonts w:ascii="Calibri" w:eastAsia="Calibri" w:hAnsi="Calibri" w:cs="Calibri"/>
        </w:rPr>
        <w:t xml:space="preserve"> and international students who have studied</w:t>
      </w:r>
      <w:r w:rsidR="000D5F87" w:rsidRPr="008F360A">
        <w:rPr>
          <w:rFonts w:ascii="Calibri" w:eastAsia="Calibri" w:hAnsi="Calibri" w:cs="Calibri"/>
        </w:rPr>
        <w:t xml:space="preserve"> in Australia</w:t>
      </w:r>
      <w:r w:rsidR="000A03D8" w:rsidRPr="008F360A">
        <w:rPr>
          <w:rFonts w:ascii="Calibri" w:eastAsia="Calibri" w:hAnsi="Calibri" w:cs="Calibri"/>
        </w:rPr>
        <w:t xml:space="preserve">. </w:t>
      </w:r>
      <w:r w:rsidR="00694684" w:rsidRPr="008F360A">
        <w:rPr>
          <w:rFonts w:ascii="Calibri" w:eastAsia="Calibri" w:hAnsi="Calibri" w:cs="Calibri"/>
        </w:rPr>
        <w:t>These regulatory settings will be compared to those for Australian trained health professionals to ensure that unreasonable additional requirements or standards are not being applied to overseas trained professionals</w:t>
      </w:r>
      <w:r w:rsidR="000D5F87" w:rsidRPr="008F360A">
        <w:rPr>
          <w:rFonts w:ascii="Calibri" w:eastAsia="Calibri" w:hAnsi="Calibri" w:cs="Calibri"/>
        </w:rPr>
        <w:t xml:space="preserve">. </w:t>
      </w:r>
    </w:p>
    <w:p w:rsidR="003B7404" w:rsidRPr="00711880" w:rsidRDefault="000D5F87" w:rsidP="003B7404">
      <w:pPr>
        <w:rPr>
          <w:rFonts w:ascii="Calibri" w:eastAsia="Calibri" w:hAnsi="Calibri" w:cs="Calibri"/>
        </w:rPr>
      </w:pPr>
      <w:r w:rsidRPr="008F360A">
        <w:rPr>
          <w:rFonts w:ascii="Calibri" w:eastAsia="Calibri" w:hAnsi="Calibri" w:cs="Calibri"/>
        </w:rPr>
        <w:t xml:space="preserve">Health Ministers from each state and territory and the Commonwealth oversee the National Registration and Accreditation Scheme (the National Scheme) under the Health Practitioner Regulation National Law (the National Law), adopted by each state and territory. </w:t>
      </w:r>
      <w:r w:rsidR="003B7404" w:rsidRPr="008F360A">
        <w:rPr>
          <w:rFonts w:ascii="Calibri" w:eastAsia="Calibri" w:hAnsi="Calibri" w:cs="Calibri"/>
        </w:rPr>
        <w:t>The National Scheme is designed to protect public safety by ensuring that all regulated health professionals are regi</w:t>
      </w:r>
      <w:r w:rsidR="00711880">
        <w:rPr>
          <w:rFonts w:ascii="Calibri" w:eastAsia="Calibri" w:hAnsi="Calibri" w:cs="Calibri"/>
        </w:rPr>
        <w:t>stered against consistent, high</w:t>
      </w:r>
      <w:r w:rsidR="00711880">
        <w:rPr>
          <w:rFonts w:ascii="Calibri" w:eastAsia="Calibri" w:hAnsi="Calibri" w:cs="Calibri"/>
        </w:rPr>
        <w:noBreakHyphen/>
      </w:r>
      <w:r w:rsidR="003B7404" w:rsidRPr="008F360A">
        <w:rPr>
          <w:rFonts w:ascii="Calibri" w:eastAsia="Calibri" w:hAnsi="Calibri" w:cs="Calibri"/>
        </w:rPr>
        <w:t xml:space="preserve">quality, national professional standards. </w:t>
      </w:r>
      <w:r w:rsidR="000A590C" w:rsidRPr="008F360A">
        <w:rPr>
          <w:rFonts w:ascii="Calibri" w:eastAsia="Calibri" w:hAnsi="Calibri" w:cs="Calibri"/>
        </w:rPr>
        <w:t>The Objectives of the National Law include the facilitation of rigorous and responsive assessment of overseas trained practitioners and access to services provided by health practitioners in accordance with public interest.</w:t>
      </w:r>
      <w:r w:rsidR="00711880" w:rsidRPr="008F360A">
        <w:rPr>
          <w:rStyle w:val="FootnoteReference"/>
          <w:rFonts w:ascii="Calibri" w:eastAsia="Calibri" w:hAnsi="Calibri" w:cs="Calibri"/>
        </w:rPr>
        <w:footnoteReference w:id="1"/>
      </w:r>
      <w:r w:rsidR="000A590C" w:rsidRPr="008F360A">
        <w:rPr>
          <w:rFonts w:ascii="Calibri" w:eastAsia="Calibri" w:hAnsi="Calibri" w:cs="Calibri"/>
        </w:rPr>
        <w:t xml:space="preserve"> </w:t>
      </w:r>
      <w:r w:rsidR="003B7404" w:rsidRPr="008F360A">
        <w:rPr>
          <w:rFonts w:ascii="Calibri" w:eastAsia="Calibri" w:hAnsi="Calibri" w:cs="Calibri"/>
        </w:rPr>
        <w:t xml:space="preserve">The Australian Health Practitioner Regulation </w:t>
      </w:r>
      <w:r w:rsidRPr="008F360A">
        <w:rPr>
          <w:rFonts w:ascii="Calibri" w:eastAsia="Calibri" w:hAnsi="Calibri" w:cs="Calibri"/>
        </w:rPr>
        <w:t xml:space="preserve">Agency </w:t>
      </w:r>
      <w:r w:rsidR="003B7404" w:rsidRPr="008F360A">
        <w:rPr>
          <w:rFonts w:ascii="Calibri" w:eastAsia="Calibri" w:hAnsi="Calibri" w:cs="Calibri"/>
        </w:rPr>
        <w:t>(Ahpra) works in partnership with 15</w:t>
      </w:r>
      <w:r w:rsidR="00721B7C" w:rsidRPr="008F360A">
        <w:rPr>
          <w:rFonts w:ascii="Calibri" w:eastAsia="Calibri" w:hAnsi="Calibri" w:cs="Calibri"/>
        </w:rPr>
        <w:t> </w:t>
      </w:r>
      <w:r w:rsidR="003B7404" w:rsidRPr="008F360A">
        <w:rPr>
          <w:rFonts w:ascii="Calibri" w:eastAsia="Calibri" w:hAnsi="Calibri" w:cs="Calibri"/>
        </w:rPr>
        <w:t>National Boards to implement the National Scheme, managing the registration and renewal processes for local and overseas qua</w:t>
      </w:r>
      <w:r w:rsidR="00C94793">
        <w:rPr>
          <w:rFonts w:ascii="Calibri" w:eastAsia="Calibri" w:hAnsi="Calibri" w:cs="Calibri"/>
        </w:rPr>
        <w:t>lified health practitioners, in </w:t>
      </w:r>
      <w:r w:rsidR="003B7404" w:rsidRPr="008F360A">
        <w:rPr>
          <w:rFonts w:ascii="Calibri" w:eastAsia="Calibri" w:hAnsi="Calibri" w:cs="Calibri"/>
        </w:rPr>
        <w:t xml:space="preserve">accordance with the National Law. </w:t>
      </w:r>
    </w:p>
    <w:p w:rsidR="000130DC" w:rsidRPr="00711880" w:rsidRDefault="000130DC" w:rsidP="00B37DBC">
      <w:pPr>
        <w:rPr>
          <w:rFonts w:ascii="Calibri" w:eastAsia="Calibri" w:hAnsi="Calibri" w:cs="Calibri"/>
        </w:rPr>
      </w:pPr>
      <w:r w:rsidRPr="00711880">
        <w:rPr>
          <w:rFonts w:ascii="Calibri" w:eastAsia="Calibri" w:hAnsi="Calibri" w:cs="Calibri"/>
        </w:rPr>
        <w:t>The Review is independent from</w:t>
      </w:r>
      <w:r w:rsidR="005C14C3">
        <w:rPr>
          <w:rFonts w:ascii="Calibri" w:eastAsia="Calibri" w:hAnsi="Calibri" w:cs="Calibri"/>
        </w:rPr>
        <w:t>,</w:t>
      </w:r>
      <w:r w:rsidRPr="00711880">
        <w:rPr>
          <w:rFonts w:ascii="Calibri" w:eastAsia="Calibri" w:hAnsi="Calibri" w:cs="Calibri"/>
        </w:rPr>
        <w:t xml:space="preserve"> but complementary to</w:t>
      </w:r>
      <w:r w:rsidR="005C14C3">
        <w:rPr>
          <w:rFonts w:ascii="Calibri" w:eastAsia="Calibri" w:hAnsi="Calibri" w:cs="Calibri"/>
        </w:rPr>
        <w:t>,</w:t>
      </w:r>
      <w:r w:rsidRPr="00711880">
        <w:rPr>
          <w:rFonts w:ascii="Calibri" w:eastAsia="Calibri" w:hAnsi="Calibri" w:cs="Calibri"/>
        </w:rPr>
        <w:t xml:space="preserve"> the work National Cabinet has asked Ahpra to undertake</w:t>
      </w:r>
      <w:r w:rsidR="00D275FB" w:rsidRPr="00711880">
        <w:rPr>
          <w:rFonts w:ascii="Calibri" w:eastAsia="Calibri" w:hAnsi="Calibri" w:cs="Calibri"/>
        </w:rPr>
        <w:t xml:space="preserve">. The Review </w:t>
      </w:r>
      <w:r w:rsidRPr="00711880">
        <w:rPr>
          <w:rFonts w:ascii="Calibri" w:eastAsia="Calibri" w:hAnsi="Calibri" w:cs="Calibri"/>
        </w:rPr>
        <w:t>links with the</w:t>
      </w:r>
      <w:r w:rsidR="00D275FB" w:rsidRPr="00711880">
        <w:rPr>
          <w:rFonts w:ascii="Calibri" w:eastAsia="Calibri" w:hAnsi="Calibri" w:cs="Calibri"/>
        </w:rPr>
        <w:t xml:space="preserve"> work of the Health Workforce Taskforce commissioned by the Health Ministers’ Meeting, the</w:t>
      </w:r>
      <w:r w:rsidRPr="00711880">
        <w:rPr>
          <w:rFonts w:ascii="Calibri" w:eastAsia="Calibri" w:hAnsi="Calibri" w:cs="Calibri"/>
        </w:rPr>
        <w:t xml:space="preserve"> Improving Care Pathways Taskforce</w:t>
      </w:r>
      <w:r w:rsidR="00D275FB" w:rsidRPr="00711880">
        <w:rPr>
          <w:rFonts w:ascii="Calibri" w:eastAsia="Calibri" w:hAnsi="Calibri" w:cs="Calibri"/>
        </w:rPr>
        <w:t xml:space="preserve"> commissioned by National Cabinet</w:t>
      </w:r>
      <w:r w:rsidR="004F2918" w:rsidRPr="00711880">
        <w:rPr>
          <w:rFonts w:ascii="Calibri" w:eastAsia="Calibri" w:hAnsi="Calibri" w:cs="Calibri"/>
        </w:rPr>
        <w:t xml:space="preserve"> and </w:t>
      </w:r>
      <w:r w:rsidR="000A25B9" w:rsidRPr="00711880">
        <w:rPr>
          <w:rFonts w:ascii="Calibri" w:eastAsia="Calibri" w:hAnsi="Calibri" w:cs="Calibri"/>
        </w:rPr>
        <w:t xml:space="preserve">the objectives and </w:t>
      </w:r>
      <w:r w:rsidR="004F2918" w:rsidRPr="00711880">
        <w:rPr>
          <w:rFonts w:ascii="Calibri" w:eastAsia="Calibri" w:hAnsi="Calibri" w:cs="Calibri"/>
        </w:rPr>
        <w:t>outcomes from the Jobs and Skills Summit</w:t>
      </w:r>
      <w:r w:rsidR="00711880">
        <w:rPr>
          <w:rFonts w:ascii="Calibri" w:eastAsia="Calibri" w:hAnsi="Calibri" w:cs="Calibri"/>
        </w:rPr>
        <w:t>.</w:t>
      </w:r>
    </w:p>
    <w:p w:rsidR="000130DC" w:rsidRPr="008F360A" w:rsidRDefault="000130DC" w:rsidP="00B37DBC">
      <w:pPr>
        <w:pStyle w:val="Heading2"/>
        <w:spacing w:before="0" w:after="160"/>
        <w:rPr>
          <w:rFonts w:ascii="Calibri" w:hAnsi="Calibri" w:cs="Calibri"/>
          <w:color w:val="5555B7" w:themeColor="accent6" w:themeShade="BF"/>
        </w:rPr>
      </w:pPr>
      <w:r w:rsidRPr="008F360A">
        <w:rPr>
          <w:rFonts w:ascii="Calibri" w:hAnsi="Calibri" w:cs="Calibri"/>
          <w:color w:val="5555B7" w:themeColor="accent6" w:themeShade="BF"/>
        </w:rPr>
        <w:t xml:space="preserve">Purpose </w:t>
      </w:r>
    </w:p>
    <w:p w:rsidR="000130DC" w:rsidRPr="008F360A" w:rsidRDefault="000130DC" w:rsidP="00B37DBC">
      <w:pPr>
        <w:rPr>
          <w:rFonts w:ascii="Calibri" w:eastAsia="Calibri" w:hAnsi="Calibri" w:cs="Calibri"/>
        </w:rPr>
      </w:pPr>
      <w:r w:rsidRPr="008F360A">
        <w:rPr>
          <w:rFonts w:ascii="Calibri" w:eastAsia="Calibri" w:hAnsi="Calibri" w:cs="Calibri"/>
        </w:rPr>
        <w:t>Australia is facing a shortage of key healthcare workers, which has been heightened by the COVID</w:t>
      </w:r>
      <w:r w:rsidRPr="008F360A">
        <w:rPr>
          <w:rFonts w:ascii="Calibri" w:eastAsia="Calibri" w:hAnsi="Calibri" w:cs="Calibri"/>
        </w:rPr>
        <w:noBreakHyphen/>
      </w:r>
      <w:r w:rsidR="00291BBE" w:rsidRPr="008F360A">
        <w:rPr>
          <w:rFonts w:ascii="Calibri" w:eastAsia="Calibri" w:hAnsi="Calibri" w:cs="Calibri"/>
        </w:rPr>
        <w:t>19 </w:t>
      </w:r>
      <w:r w:rsidRPr="008F360A">
        <w:rPr>
          <w:rFonts w:ascii="Calibri" w:eastAsia="Calibri" w:hAnsi="Calibri" w:cs="Calibri"/>
        </w:rPr>
        <w:t xml:space="preserve">pandemic and is expected to continue as Australia’s population ages. </w:t>
      </w:r>
    </w:p>
    <w:p w:rsidR="000130DC" w:rsidRPr="008F360A" w:rsidRDefault="000130DC" w:rsidP="00B37DBC">
      <w:pPr>
        <w:rPr>
          <w:rFonts w:ascii="Calibri" w:eastAsia="Calibri" w:hAnsi="Calibri" w:cs="Calibri"/>
        </w:rPr>
      </w:pPr>
      <w:r w:rsidRPr="008F360A">
        <w:rPr>
          <w:rFonts w:ascii="Calibri" w:eastAsia="Calibri" w:hAnsi="Calibri" w:cs="Calibri"/>
        </w:rPr>
        <w:t xml:space="preserve">To ensure </w:t>
      </w:r>
      <w:r w:rsidR="00E61BF7" w:rsidRPr="008F360A">
        <w:rPr>
          <w:rFonts w:ascii="Calibri" w:eastAsia="Calibri" w:hAnsi="Calibri" w:cs="Calibri"/>
        </w:rPr>
        <w:t xml:space="preserve">that hospitals and </w:t>
      </w:r>
      <w:r w:rsidRPr="008F360A">
        <w:rPr>
          <w:rFonts w:ascii="Calibri" w:eastAsia="Calibri" w:hAnsi="Calibri" w:cs="Calibri"/>
        </w:rPr>
        <w:t>the health system can meet demand and deliver high-quality and timely health services,</w:t>
      </w:r>
      <w:r w:rsidR="00E61BF7" w:rsidRPr="008F360A">
        <w:rPr>
          <w:rFonts w:ascii="Calibri" w:eastAsia="Calibri" w:hAnsi="Calibri" w:cs="Calibri"/>
        </w:rPr>
        <w:t xml:space="preserve"> National Cabinet </w:t>
      </w:r>
      <w:r w:rsidR="00C00F40" w:rsidRPr="008F360A">
        <w:rPr>
          <w:rFonts w:ascii="Calibri" w:eastAsia="Calibri" w:hAnsi="Calibri" w:cs="Calibri"/>
        </w:rPr>
        <w:t>recognises</w:t>
      </w:r>
      <w:r w:rsidR="00E61BF7" w:rsidRPr="008F360A">
        <w:rPr>
          <w:rFonts w:ascii="Calibri" w:eastAsia="Calibri" w:hAnsi="Calibri" w:cs="Calibri"/>
        </w:rPr>
        <w:t xml:space="preserve"> that</w:t>
      </w:r>
      <w:r w:rsidRPr="008F360A">
        <w:rPr>
          <w:rFonts w:ascii="Calibri" w:eastAsia="Calibri" w:hAnsi="Calibri" w:cs="Calibri"/>
        </w:rPr>
        <w:t xml:space="preserve"> Australia needs to supplement</w:t>
      </w:r>
      <w:r w:rsidR="00A772D0" w:rsidRPr="008F360A">
        <w:rPr>
          <w:rFonts w:ascii="Calibri" w:eastAsia="Calibri" w:hAnsi="Calibri" w:cs="Calibri"/>
        </w:rPr>
        <w:t>, in the short to medium term,</w:t>
      </w:r>
      <w:r w:rsidRPr="008F360A">
        <w:rPr>
          <w:rFonts w:ascii="Calibri" w:eastAsia="Calibri" w:hAnsi="Calibri" w:cs="Calibri"/>
        </w:rPr>
        <w:t xml:space="preserve"> the domestically trained health workforce with skilled health practitioners from overseas. </w:t>
      </w:r>
    </w:p>
    <w:p w:rsidR="000130DC" w:rsidRPr="008F360A" w:rsidRDefault="000130DC" w:rsidP="00B37DBC">
      <w:pPr>
        <w:rPr>
          <w:rFonts w:ascii="Calibri" w:eastAsia="Calibri" w:hAnsi="Calibri" w:cs="Calibri"/>
        </w:rPr>
      </w:pPr>
      <w:r w:rsidRPr="008F360A">
        <w:rPr>
          <w:rFonts w:ascii="Calibri" w:eastAsia="Calibri" w:hAnsi="Calibri" w:cs="Calibri"/>
        </w:rPr>
        <w:t>To achieve this in a highly competitive global market, our regulatory settings need to be fit for purpose, comparable to similar countries and not impose unnecessary barriers or compliance costs on migrants and employers</w:t>
      </w:r>
      <w:r w:rsidR="00CB635D" w:rsidRPr="008F360A">
        <w:rPr>
          <w:rFonts w:ascii="Calibri" w:eastAsia="Calibri" w:hAnsi="Calibri" w:cs="Calibri"/>
        </w:rPr>
        <w:t>, while preserving patient safety standards</w:t>
      </w:r>
      <w:r w:rsidRPr="008F360A">
        <w:rPr>
          <w:rFonts w:ascii="Calibri" w:eastAsia="Calibri" w:hAnsi="Calibri" w:cs="Calibri"/>
        </w:rPr>
        <w:t xml:space="preserve">. </w:t>
      </w:r>
    </w:p>
    <w:p w:rsidR="18663625" w:rsidRPr="008F360A" w:rsidRDefault="00DF4C6C" w:rsidP="00B37DBC">
      <w:pPr>
        <w:pStyle w:val="Heading2"/>
        <w:spacing w:before="0" w:after="160"/>
        <w:rPr>
          <w:rFonts w:ascii="Calibri" w:hAnsi="Calibri" w:cs="Calibri"/>
          <w:color w:val="5555B7" w:themeColor="accent6" w:themeShade="BF"/>
        </w:rPr>
      </w:pPr>
      <w:r w:rsidRPr="008F360A">
        <w:rPr>
          <w:rFonts w:ascii="Calibri" w:hAnsi="Calibri" w:cs="Calibri"/>
          <w:color w:val="5555B7" w:themeColor="accent6" w:themeShade="BF"/>
        </w:rPr>
        <w:t>Scope</w:t>
      </w:r>
    </w:p>
    <w:p w:rsidR="00691BD8" w:rsidRPr="008F360A" w:rsidRDefault="00C00F40" w:rsidP="000D5F87">
      <w:pPr>
        <w:rPr>
          <w:rFonts w:ascii="Calibri" w:eastAsia="Calibri" w:hAnsi="Calibri" w:cs="Calibri"/>
        </w:rPr>
      </w:pPr>
      <w:r w:rsidRPr="008F360A">
        <w:rPr>
          <w:rFonts w:ascii="Calibri" w:hAnsi="Calibri" w:cs="Calibri"/>
        </w:rPr>
        <w:t>T</w:t>
      </w:r>
      <w:r w:rsidR="000130DC" w:rsidRPr="008F360A">
        <w:rPr>
          <w:rFonts w:ascii="Calibri" w:hAnsi="Calibri" w:cs="Calibri"/>
        </w:rPr>
        <w:t xml:space="preserve">he Review will deliver </w:t>
      </w:r>
      <w:r w:rsidR="00F10CEF" w:rsidRPr="008F360A">
        <w:rPr>
          <w:rFonts w:ascii="Calibri" w:hAnsi="Calibri" w:cs="Calibri"/>
        </w:rPr>
        <w:t>short</w:t>
      </w:r>
      <w:r w:rsidR="00C91E26" w:rsidRPr="008F360A">
        <w:rPr>
          <w:rFonts w:ascii="Calibri" w:hAnsi="Calibri" w:cs="Calibri"/>
        </w:rPr>
        <w:t>-</w:t>
      </w:r>
      <w:r w:rsidR="00F10CEF" w:rsidRPr="008F360A">
        <w:rPr>
          <w:rFonts w:ascii="Calibri" w:hAnsi="Calibri" w:cs="Calibri"/>
        </w:rPr>
        <w:t xml:space="preserve">term </w:t>
      </w:r>
      <w:r w:rsidR="000130DC" w:rsidRPr="008F360A">
        <w:rPr>
          <w:rFonts w:ascii="Calibri" w:hAnsi="Calibri" w:cs="Calibri"/>
        </w:rPr>
        <w:t>recommendations for action</w:t>
      </w:r>
      <w:r w:rsidR="000D5F87" w:rsidRPr="008F360A">
        <w:rPr>
          <w:rFonts w:ascii="Calibri" w:hAnsi="Calibri" w:cs="Calibri"/>
        </w:rPr>
        <w:t>s which can be implemented</w:t>
      </w:r>
      <w:r w:rsidR="005A3308" w:rsidRPr="008F360A">
        <w:rPr>
          <w:rFonts w:ascii="Calibri" w:hAnsi="Calibri" w:cs="Calibri"/>
        </w:rPr>
        <w:t xml:space="preserve"> within </w:t>
      </w:r>
      <w:r w:rsidR="0084178D" w:rsidRPr="008F360A">
        <w:rPr>
          <w:rFonts w:ascii="Calibri" w:hAnsi="Calibri" w:cs="Calibri"/>
        </w:rPr>
        <w:t>12 </w:t>
      </w:r>
      <w:r w:rsidR="0043095A" w:rsidRPr="008F360A">
        <w:rPr>
          <w:rFonts w:ascii="Calibri" w:hAnsi="Calibri" w:cs="Calibri"/>
        </w:rPr>
        <w:t>months to</w:t>
      </w:r>
      <w:r w:rsidR="000130DC" w:rsidRPr="008F360A">
        <w:rPr>
          <w:rFonts w:ascii="Calibri" w:hAnsi="Calibri" w:cs="Calibri"/>
        </w:rPr>
        <w:t xml:space="preserve"> ease skills shortages in key </w:t>
      </w:r>
      <w:r w:rsidR="00AD6ABB" w:rsidRPr="008F360A">
        <w:rPr>
          <w:rFonts w:ascii="Calibri" w:hAnsi="Calibri" w:cs="Calibri"/>
        </w:rPr>
        <w:t>health professions</w:t>
      </w:r>
      <w:r w:rsidR="000130DC" w:rsidRPr="008F360A">
        <w:rPr>
          <w:rFonts w:ascii="Calibri" w:hAnsi="Calibri" w:cs="Calibri"/>
        </w:rPr>
        <w:t>, including nursing</w:t>
      </w:r>
      <w:r w:rsidR="00AD6ABB" w:rsidRPr="008F360A">
        <w:rPr>
          <w:rFonts w:ascii="Calibri" w:hAnsi="Calibri" w:cs="Calibri"/>
        </w:rPr>
        <w:t xml:space="preserve"> and midwifery</w:t>
      </w:r>
      <w:r w:rsidR="000130DC" w:rsidRPr="008F360A">
        <w:rPr>
          <w:rFonts w:ascii="Calibri" w:hAnsi="Calibri" w:cs="Calibri"/>
        </w:rPr>
        <w:t>,</w:t>
      </w:r>
      <w:r w:rsidR="00AD6ABB" w:rsidRPr="008F360A">
        <w:rPr>
          <w:rFonts w:ascii="Calibri" w:hAnsi="Calibri" w:cs="Calibri"/>
        </w:rPr>
        <w:t xml:space="preserve"> medicine, psychology, pharmacy, paramedicine, occupational therapy,</w:t>
      </w:r>
      <w:r w:rsidR="000130DC" w:rsidRPr="008F360A">
        <w:rPr>
          <w:rFonts w:ascii="Calibri" w:eastAsia="Calibri" w:hAnsi="Calibri" w:cs="Calibri"/>
        </w:rPr>
        <w:t xml:space="preserve"> and any others identified as part of the Review.</w:t>
      </w:r>
      <w:r w:rsidR="00F22546" w:rsidRPr="008F360A">
        <w:rPr>
          <w:rFonts w:ascii="Calibri" w:eastAsia="Calibri" w:hAnsi="Calibri" w:cs="Calibri"/>
        </w:rPr>
        <w:t xml:space="preserve"> </w:t>
      </w:r>
    </w:p>
    <w:p w:rsidR="00C00F40" w:rsidRPr="008F360A" w:rsidRDefault="00F10CEF" w:rsidP="00691BD8">
      <w:pPr>
        <w:keepNext/>
        <w:rPr>
          <w:rFonts w:ascii="Calibri" w:eastAsia="Calibri" w:hAnsi="Calibri" w:cs="Calibri"/>
        </w:rPr>
      </w:pPr>
      <w:r w:rsidRPr="008F360A">
        <w:rPr>
          <w:rFonts w:ascii="Calibri" w:eastAsia="Calibri" w:hAnsi="Calibri" w:cs="Calibri"/>
        </w:rPr>
        <w:t xml:space="preserve">This </w:t>
      </w:r>
      <w:r w:rsidR="00691BD8" w:rsidRPr="008F360A">
        <w:rPr>
          <w:rFonts w:ascii="Calibri" w:eastAsia="Calibri" w:hAnsi="Calibri" w:cs="Calibri"/>
        </w:rPr>
        <w:t>R</w:t>
      </w:r>
      <w:r w:rsidR="00694684" w:rsidRPr="008F360A">
        <w:rPr>
          <w:rFonts w:ascii="Calibri" w:eastAsia="Calibri" w:hAnsi="Calibri" w:cs="Calibri"/>
        </w:rPr>
        <w:t xml:space="preserve">eview will </w:t>
      </w:r>
      <w:r w:rsidRPr="008F360A">
        <w:rPr>
          <w:rFonts w:ascii="Calibri" w:eastAsia="Calibri" w:hAnsi="Calibri" w:cs="Calibri"/>
        </w:rPr>
        <w:t>include consideration of</w:t>
      </w:r>
      <w:r w:rsidR="00C00F40" w:rsidRPr="008F360A">
        <w:rPr>
          <w:rFonts w:ascii="Calibri" w:eastAsia="Calibri" w:hAnsi="Calibri" w:cs="Calibri"/>
        </w:rPr>
        <w:t>:</w:t>
      </w:r>
      <w:r w:rsidRPr="008F360A">
        <w:rPr>
          <w:rFonts w:ascii="Calibri" w:eastAsia="Calibri" w:hAnsi="Calibri" w:cs="Calibri"/>
        </w:rPr>
        <w:t xml:space="preserve"> </w:t>
      </w:r>
    </w:p>
    <w:p w:rsidR="00C00F40" w:rsidRPr="008F360A" w:rsidRDefault="00F10CEF" w:rsidP="00C94793">
      <w:pPr>
        <w:pStyle w:val="ListParagraph"/>
        <w:keepNext/>
        <w:numPr>
          <w:ilvl w:val="0"/>
          <w:numId w:val="8"/>
        </w:numPr>
        <w:ind w:left="709"/>
        <w:rPr>
          <w:rFonts w:ascii="Calibri" w:eastAsia="Calibri" w:hAnsi="Calibri" w:cs="Calibri"/>
        </w:rPr>
      </w:pPr>
      <w:r w:rsidRPr="008F360A">
        <w:rPr>
          <w:rFonts w:ascii="Calibri" w:eastAsia="Calibri" w:hAnsi="Calibri" w:cs="Calibri"/>
        </w:rPr>
        <w:t>streamlining</w:t>
      </w:r>
      <w:r w:rsidR="00947A50" w:rsidRPr="008F360A">
        <w:rPr>
          <w:rFonts w:ascii="Calibri" w:eastAsia="Calibri" w:hAnsi="Calibri" w:cs="Calibri"/>
        </w:rPr>
        <w:t xml:space="preserve"> existing competent authority pathways to registration and extending these to more health professions</w:t>
      </w:r>
    </w:p>
    <w:p w:rsidR="00C00F40" w:rsidRPr="008F360A" w:rsidRDefault="00947A50" w:rsidP="00C94793">
      <w:pPr>
        <w:pStyle w:val="ListParagraph"/>
        <w:numPr>
          <w:ilvl w:val="0"/>
          <w:numId w:val="8"/>
        </w:numPr>
        <w:ind w:left="709"/>
        <w:rPr>
          <w:rFonts w:ascii="Calibri" w:eastAsia="Calibri" w:hAnsi="Calibri" w:cs="Calibri"/>
        </w:rPr>
      </w:pPr>
      <w:r w:rsidRPr="008F360A">
        <w:rPr>
          <w:rFonts w:ascii="Calibri" w:eastAsia="Calibri" w:hAnsi="Calibri" w:cs="Calibri"/>
        </w:rPr>
        <w:t>streamlining</w:t>
      </w:r>
      <w:r w:rsidR="00F10CEF" w:rsidRPr="008F360A">
        <w:rPr>
          <w:rFonts w:ascii="Calibri" w:eastAsia="Calibri" w:hAnsi="Calibri" w:cs="Calibri"/>
        </w:rPr>
        <w:t xml:space="preserve"> and integrati</w:t>
      </w:r>
      <w:r w:rsidR="00CB635D" w:rsidRPr="008F360A">
        <w:rPr>
          <w:rFonts w:ascii="Calibri" w:eastAsia="Calibri" w:hAnsi="Calibri" w:cs="Calibri"/>
        </w:rPr>
        <w:t>ng</w:t>
      </w:r>
      <w:r w:rsidR="00F10CEF" w:rsidRPr="008F360A">
        <w:rPr>
          <w:rFonts w:ascii="Calibri" w:eastAsia="Calibri" w:hAnsi="Calibri" w:cs="Calibri"/>
        </w:rPr>
        <w:t xml:space="preserve"> with other processes that impact on the workforce, such as visa application processes, credentialing processes and Medicare provider number application processes</w:t>
      </w:r>
    </w:p>
    <w:p w:rsidR="000130DC" w:rsidRPr="008F360A" w:rsidRDefault="00947A50" w:rsidP="00C94793">
      <w:pPr>
        <w:pStyle w:val="ListParagraph"/>
        <w:numPr>
          <w:ilvl w:val="0"/>
          <w:numId w:val="8"/>
        </w:numPr>
        <w:ind w:left="709"/>
        <w:rPr>
          <w:rFonts w:ascii="Calibri" w:hAnsi="Calibri" w:cs="Calibri"/>
        </w:rPr>
      </w:pPr>
      <w:r w:rsidRPr="008F360A">
        <w:rPr>
          <w:rFonts w:ascii="Calibri" w:eastAsia="Calibri" w:hAnsi="Calibri" w:cs="Calibri"/>
        </w:rPr>
        <w:t>the costs of training and qualification for international health workers</w:t>
      </w:r>
      <w:r w:rsidR="00F10CEF" w:rsidRPr="008F360A">
        <w:rPr>
          <w:rFonts w:ascii="Calibri" w:eastAsia="Calibri" w:hAnsi="Calibri" w:cs="Calibri"/>
        </w:rPr>
        <w:t>.</w:t>
      </w:r>
    </w:p>
    <w:p w:rsidR="000130DC" w:rsidRPr="008F360A" w:rsidRDefault="00C00F40" w:rsidP="000D5F87">
      <w:pPr>
        <w:rPr>
          <w:rFonts w:ascii="Calibri" w:hAnsi="Calibri" w:cs="Calibri"/>
        </w:rPr>
      </w:pPr>
      <w:r w:rsidRPr="008F360A">
        <w:rPr>
          <w:rFonts w:ascii="Calibri" w:hAnsi="Calibri" w:cs="Calibri"/>
        </w:rPr>
        <w:t>T</w:t>
      </w:r>
      <w:r w:rsidR="000130DC" w:rsidRPr="008F360A">
        <w:rPr>
          <w:rFonts w:ascii="Calibri" w:hAnsi="Calibri" w:cs="Calibri"/>
        </w:rPr>
        <w:t xml:space="preserve">he Review will also </w:t>
      </w:r>
      <w:r w:rsidR="00F10CEF" w:rsidRPr="008F360A">
        <w:rPr>
          <w:rFonts w:ascii="Calibri" w:hAnsi="Calibri" w:cs="Calibri"/>
        </w:rPr>
        <w:t xml:space="preserve">include consideration of </w:t>
      </w:r>
      <w:r w:rsidR="000130DC" w:rsidRPr="008F360A">
        <w:rPr>
          <w:rFonts w:ascii="Calibri" w:hAnsi="Calibri" w:cs="Calibri"/>
        </w:rPr>
        <w:t xml:space="preserve">regulatory settings in comparable overseas jurisdictions to identify best practice and opportunities for Australia to streamline and strengthen processes and settings and support global worker mobility. </w:t>
      </w:r>
    </w:p>
    <w:p w:rsidR="00B37DBC" w:rsidRPr="008F360A" w:rsidRDefault="00B37DBC" w:rsidP="00B37DBC">
      <w:pPr>
        <w:rPr>
          <w:rFonts w:ascii="Calibri" w:hAnsi="Calibri" w:cs="Calibri"/>
        </w:rPr>
      </w:pPr>
      <w:r w:rsidRPr="00711880">
        <w:rPr>
          <w:rFonts w:ascii="Calibri" w:hAnsi="Calibri" w:cs="Calibri"/>
        </w:rPr>
        <w:t xml:space="preserve">The </w:t>
      </w:r>
      <w:r w:rsidR="00721B7C" w:rsidRPr="00711880">
        <w:rPr>
          <w:rFonts w:ascii="Calibri" w:hAnsi="Calibri" w:cs="Calibri"/>
        </w:rPr>
        <w:t>R</w:t>
      </w:r>
      <w:r w:rsidRPr="00711880">
        <w:rPr>
          <w:rFonts w:ascii="Calibri" w:hAnsi="Calibri" w:cs="Calibri"/>
        </w:rPr>
        <w:t>eview will report</w:t>
      </w:r>
      <w:r w:rsidRPr="008F360A">
        <w:rPr>
          <w:rFonts w:ascii="Calibri" w:hAnsi="Calibri" w:cs="Calibri"/>
        </w:rPr>
        <w:t xml:space="preserve"> back to National Cabinet with </w:t>
      </w:r>
      <w:r w:rsidR="009A5FF9" w:rsidRPr="008F360A">
        <w:rPr>
          <w:rFonts w:ascii="Calibri" w:hAnsi="Calibri" w:cs="Calibri"/>
        </w:rPr>
        <w:t xml:space="preserve">initial recommendations for agreement </w:t>
      </w:r>
      <w:r w:rsidR="00D275FB" w:rsidRPr="008F360A">
        <w:rPr>
          <w:rFonts w:ascii="Calibri" w:hAnsi="Calibri" w:cs="Calibri"/>
        </w:rPr>
        <w:t>in early</w:t>
      </w:r>
      <w:r w:rsidR="00C94793">
        <w:rPr>
          <w:rFonts w:ascii="Calibri" w:hAnsi="Calibri" w:cs="Calibri"/>
        </w:rPr>
        <w:t> </w:t>
      </w:r>
      <w:r w:rsidR="009A5FF9" w:rsidRPr="008F360A">
        <w:rPr>
          <w:rFonts w:ascii="Calibri" w:hAnsi="Calibri" w:cs="Calibri"/>
        </w:rPr>
        <w:t xml:space="preserve">2023 </w:t>
      </w:r>
      <w:r w:rsidR="00691BD8" w:rsidRPr="008F360A">
        <w:rPr>
          <w:rFonts w:ascii="Calibri" w:hAnsi="Calibri" w:cs="Calibri"/>
        </w:rPr>
        <w:t xml:space="preserve">and deliver final recommendations by </w:t>
      </w:r>
      <w:r w:rsidR="00D275FB" w:rsidRPr="008F360A">
        <w:rPr>
          <w:rFonts w:ascii="Calibri" w:hAnsi="Calibri" w:cs="Calibri"/>
        </w:rPr>
        <w:t>mid-</w:t>
      </w:r>
      <w:r w:rsidR="00691BD8" w:rsidRPr="008F360A">
        <w:rPr>
          <w:rFonts w:ascii="Calibri" w:hAnsi="Calibri" w:cs="Calibri"/>
        </w:rPr>
        <w:t>2023.</w:t>
      </w:r>
    </w:p>
    <w:p w:rsidR="000130DC" w:rsidRPr="008F360A" w:rsidRDefault="000130DC" w:rsidP="00B37DBC">
      <w:pPr>
        <w:pStyle w:val="Heading2"/>
        <w:spacing w:before="0" w:after="160"/>
        <w:rPr>
          <w:rFonts w:ascii="Calibri" w:hAnsi="Calibri" w:cs="Calibri"/>
          <w:color w:val="5555B7" w:themeColor="accent6" w:themeShade="BF"/>
        </w:rPr>
      </w:pPr>
      <w:r w:rsidRPr="008F360A">
        <w:rPr>
          <w:rFonts w:ascii="Calibri" w:hAnsi="Calibri" w:cs="Calibri"/>
          <w:color w:val="5555B7" w:themeColor="accent6" w:themeShade="BF"/>
        </w:rPr>
        <w:t>Key principles</w:t>
      </w:r>
    </w:p>
    <w:p w:rsidR="008F7FEB" w:rsidRPr="008F360A" w:rsidRDefault="00370A9D" w:rsidP="00B37DBC">
      <w:pPr>
        <w:pStyle w:val="ListParagraph"/>
        <w:keepNext/>
        <w:keepLines/>
        <w:ind w:left="360" w:hanging="357"/>
        <w:contextualSpacing w:val="0"/>
        <w:rPr>
          <w:rFonts w:ascii="Calibri" w:hAnsi="Calibri" w:cs="Calibri"/>
        </w:rPr>
      </w:pPr>
      <w:r w:rsidRPr="008F360A">
        <w:rPr>
          <w:rFonts w:ascii="Calibri" w:hAnsi="Calibri" w:cs="Calibri"/>
        </w:rPr>
        <w:t xml:space="preserve">The Review will be </w:t>
      </w:r>
      <w:r w:rsidR="000130DC" w:rsidRPr="008F360A">
        <w:rPr>
          <w:rFonts w:ascii="Calibri" w:hAnsi="Calibri" w:cs="Calibri"/>
        </w:rPr>
        <w:t>informed</w:t>
      </w:r>
      <w:r w:rsidRPr="008F360A">
        <w:rPr>
          <w:rFonts w:ascii="Calibri" w:hAnsi="Calibri" w:cs="Calibri"/>
        </w:rPr>
        <w:t xml:space="preserve"> by the following k</w:t>
      </w:r>
      <w:r w:rsidR="008F7FEB" w:rsidRPr="008F360A">
        <w:rPr>
          <w:rFonts w:ascii="Calibri" w:hAnsi="Calibri" w:cs="Calibri"/>
        </w:rPr>
        <w:t>ey principles:</w:t>
      </w:r>
    </w:p>
    <w:p w:rsidR="008F7FEB" w:rsidRPr="008F360A" w:rsidRDefault="00BA22C0" w:rsidP="00B37DBC">
      <w:pPr>
        <w:pStyle w:val="ListParagraph"/>
        <w:keepNext/>
        <w:keepLines/>
        <w:numPr>
          <w:ilvl w:val="0"/>
          <w:numId w:val="6"/>
        </w:numPr>
        <w:contextualSpacing w:val="0"/>
        <w:rPr>
          <w:rFonts w:ascii="Calibri" w:hAnsi="Calibri" w:cs="Calibri"/>
        </w:rPr>
      </w:pPr>
      <w:r w:rsidRPr="008F360A">
        <w:rPr>
          <w:rFonts w:ascii="Calibri" w:hAnsi="Calibri" w:cs="Calibri"/>
        </w:rPr>
        <w:t>Australia’s</w:t>
      </w:r>
      <w:r w:rsidR="008F7FEB" w:rsidRPr="008F360A">
        <w:rPr>
          <w:rFonts w:ascii="Calibri" w:hAnsi="Calibri" w:cs="Calibri"/>
        </w:rPr>
        <w:t xml:space="preserve"> </w:t>
      </w:r>
      <w:r w:rsidR="00370A9D" w:rsidRPr="008F360A">
        <w:rPr>
          <w:rFonts w:ascii="Calibri" w:hAnsi="Calibri" w:cs="Calibri"/>
        </w:rPr>
        <w:t>health practitioner registration and skills and qualification regulatory system</w:t>
      </w:r>
      <w:r w:rsidR="008F7FEB" w:rsidRPr="008F360A">
        <w:rPr>
          <w:rFonts w:ascii="Calibri" w:hAnsi="Calibri" w:cs="Calibri"/>
        </w:rPr>
        <w:t xml:space="preserve"> should </w:t>
      </w:r>
      <w:r w:rsidR="009241E6" w:rsidRPr="008F360A">
        <w:rPr>
          <w:rFonts w:ascii="Calibri" w:hAnsi="Calibri" w:cs="Calibri"/>
        </w:rPr>
        <w:t xml:space="preserve">require </w:t>
      </w:r>
      <w:r w:rsidR="008F7FEB" w:rsidRPr="008F360A">
        <w:rPr>
          <w:rFonts w:ascii="Calibri" w:hAnsi="Calibri" w:cs="Calibri"/>
        </w:rPr>
        <w:t xml:space="preserve">overseas trained and domestically trained health professionals </w:t>
      </w:r>
      <w:r w:rsidR="009241E6" w:rsidRPr="008F360A">
        <w:rPr>
          <w:rFonts w:ascii="Calibri" w:hAnsi="Calibri" w:cs="Calibri"/>
        </w:rPr>
        <w:t xml:space="preserve">to meet </w:t>
      </w:r>
      <w:r w:rsidR="008F7FEB" w:rsidRPr="008F360A">
        <w:rPr>
          <w:rFonts w:ascii="Calibri" w:hAnsi="Calibri" w:cs="Calibri"/>
        </w:rPr>
        <w:t>the same</w:t>
      </w:r>
      <w:r w:rsidR="009241E6" w:rsidRPr="008F360A">
        <w:rPr>
          <w:rFonts w:ascii="Calibri" w:hAnsi="Calibri" w:cs="Calibri"/>
        </w:rPr>
        <w:t xml:space="preserve"> standards</w:t>
      </w:r>
      <w:r w:rsidRPr="008F360A">
        <w:rPr>
          <w:rFonts w:ascii="Calibri" w:hAnsi="Calibri" w:cs="Calibri"/>
        </w:rPr>
        <w:t>.</w:t>
      </w:r>
    </w:p>
    <w:p w:rsidR="008F7FEB" w:rsidRPr="008F360A" w:rsidRDefault="008F7FEB" w:rsidP="00B37DBC">
      <w:pPr>
        <w:pStyle w:val="ListParagraph"/>
        <w:keepNext/>
        <w:keepLines/>
        <w:numPr>
          <w:ilvl w:val="0"/>
          <w:numId w:val="6"/>
        </w:numPr>
        <w:contextualSpacing w:val="0"/>
        <w:rPr>
          <w:rFonts w:ascii="Calibri" w:hAnsi="Calibri" w:cs="Calibri"/>
        </w:rPr>
      </w:pPr>
      <w:r w:rsidRPr="008F360A">
        <w:rPr>
          <w:rFonts w:ascii="Calibri" w:hAnsi="Calibri" w:cs="Calibri"/>
        </w:rPr>
        <w:t xml:space="preserve">Any requirements should be commensurate with risks, optimally managed and imposed in the </w:t>
      </w:r>
      <w:r w:rsidR="009A5FF9" w:rsidRPr="008F360A">
        <w:rPr>
          <w:rFonts w:ascii="Calibri" w:hAnsi="Calibri" w:cs="Calibri"/>
        </w:rPr>
        <w:t>least complex</w:t>
      </w:r>
      <w:r w:rsidRPr="008F360A">
        <w:rPr>
          <w:rFonts w:ascii="Calibri" w:hAnsi="Calibri" w:cs="Calibri"/>
        </w:rPr>
        <w:t xml:space="preserve"> way</w:t>
      </w:r>
      <w:r w:rsidR="00BA22C0" w:rsidRPr="008F360A">
        <w:rPr>
          <w:rFonts w:ascii="Calibri" w:hAnsi="Calibri" w:cs="Calibri"/>
        </w:rPr>
        <w:t>.</w:t>
      </w:r>
    </w:p>
    <w:p w:rsidR="008F7FEB" w:rsidRPr="008F360A" w:rsidRDefault="008F7FEB" w:rsidP="00B37DBC">
      <w:pPr>
        <w:pStyle w:val="ListParagraph"/>
        <w:numPr>
          <w:ilvl w:val="0"/>
          <w:numId w:val="6"/>
        </w:numPr>
        <w:contextualSpacing w:val="0"/>
        <w:rPr>
          <w:rFonts w:ascii="Calibri" w:hAnsi="Calibri" w:cs="Calibri"/>
        </w:rPr>
      </w:pPr>
      <w:r w:rsidRPr="008F360A">
        <w:rPr>
          <w:rFonts w:ascii="Calibri" w:hAnsi="Calibri" w:cs="Calibri"/>
        </w:rPr>
        <w:t>Quality and safety standards designed to protect patients must be maintained, without unnecessarily restricting health workforce supply</w:t>
      </w:r>
      <w:r w:rsidR="00BA22C0" w:rsidRPr="008F360A">
        <w:rPr>
          <w:rFonts w:ascii="Calibri" w:hAnsi="Calibri" w:cs="Calibri"/>
        </w:rPr>
        <w:t>.</w:t>
      </w:r>
    </w:p>
    <w:p w:rsidR="008F7FEB" w:rsidRPr="008F360A" w:rsidRDefault="00D62807" w:rsidP="00B37DBC">
      <w:pPr>
        <w:pStyle w:val="ListParagraph"/>
        <w:numPr>
          <w:ilvl w:val="0"/>
          <w:numId w:val="6"/>
        </w:numPr>
        <w:contextualSpacing w:val="0"/>
        <w:rPr>
          <w:rFonts w:ascii="Calibri" w:hAnsi="Calibri" w:cs="Calibri"/>
        </w:rPr>
      </w:pPr>
      <w:r w:rsidRPr="008F360A">
        <w:rPr>
          <w:rFonts w:ascii="Calibri" w:hAnsi="Calibri" w:cs="Calibri"/>
        </w:rPr>
        <w:t>Regulatory settings should signal Australia as an attractive</w:t>
      </w:r>
      <w:r w:rsidR="00BA22C0" w:rsidRPr="008F360A">
        <w:rPr>
          <w:rFonts w:ascii="Calibri" w:hAnsi="Calibri" w:cs="Calibri"/>
        </w:rPr>
        <w:t xml:space="preserve"> </w:t>
      </w:r>
      <w:r w:rsidRPr="008F360A">
        <w:rPr>
          <w:rFonts w:ascii="Calibri" w:hAnsi="Calibri" w:cs="Calibri"/>
        </w:rPr>
        <w:t>destination for internationally qualified health practitioners and not discourage recruitment and retention of global talent</w:t>
      </w:r>
      <w:r w:rsidR="008F7FEB" w:rsidRPr="008F360A">
        <w:rPr>
          <w:rFonts w:ascii="Calibri" w:hAnsi="Calibri" w:cs="Calibri"/>
        </w:rPr>
        <w:t xml:space="preserve">. </w:t>
      </w:r>
    </w:p>
    <w:p w:rsidR="00680A54" w:rsidRPr="008F360A" w:rsidRDefault="009241E6" w:rsidP="00B37DBC">
      <w:pPr>
        <w:pStyle w:val="ListParagraph"/>
        <w:numPr>
          <w:ilvl w:val="0"/>
          <w:numId w:val="6"/>
        </w:numPr>
        <w:contextualSpacing w:val="0"/>
        <w:rPr>
          <w:rFonts w:ascii="Calibri" w:hAnsi="Calibri" w:cs="Calibri"/>
        </w:rPr>
      </w:pPr>
      <w:r w:rsidRPr="008F360A">
        <w:rPr>
          <w:rFonts w:ascii="Calibri" w:hAnsi="Calibri" w:cs="Calibri"/>
        </w:rPr>
        <w:t xml:space="preserve">Migration should not be used as a substitute for developing and employing a domestically-trained workforce. </w:t>
      </w:r>
    </w:p>
    <w:p w:rsidR="18663625" w:rsidRPr="008F360A" w:rsidRDefault="00DF4C6C" w:rsidP="00B37DBC">
      <w:pPr>
        <w:pStyle w:val="Heading2"/>
        <w:spacing w:before="0" w:after="160"/>
        <w:rPr>
          <w:rFonts w:ascii="Calibri" w:hAnsi="Calibri" w:cs="Calibri"/>
          <w:color w:val="5555B7" w:themeColor="accent6" w:themeShade="BF"/>
        </w:rPr>
      </w:pPr>
      <w:r w:rsidRPr="008F360A">
        <w:rPr>
          <w:rFonts w:ascii="Calibri" w:hAnsi="Calibri" w:cs="Calibri"/>
          <w:color w:val="5555B7" w:themeColor="accent6" w:themeShade="BF"/>
        </w:rPr>
        <w:t xml:space="preserve">Review </w:t>
      </w:r>
      <w:r w:rsidR="00AC6367" w:rsidRPr="008F360A">
        <w:rPr>
          <w:rFonts w:ascii="Calibri" w:hAnsi="Calibri" w:cs="Calibri"/>
          <w:color w:val="5555B7" w:themeColor="accent6" w:themeShade="BF"/>
        </w:rPr>
        <w:t>Lead</w:t>
      </w:r>
      <w:r w:rsidR="00A93CD2" w:rsidRPr="008F360A">
        <w:rPr>
          <w:rFonts w:ascii="Calibri" w:hAnsi="Calibri" w:cs="Calibri"/>
          <w:color w:val="5555B7" w:themeColor="accent6" w:themeShade="BF"/>
        </w:rPr>
        <w:t xml:space="preserve"> and </w:t>
      </w:r>
      <w:r w:rsidR="004E2642" w:rsidRPr="008F360A">
        <w:rPr>
          <w:rFonts w:ascii="Calibri" w:hAnsi="Calibri" w:cs="Calibri"/>
          <w:color w:val="5555B7" w:themeColor="accent6" w:themeShade="BF"/>
        </w:rPr>
        <w:t>consultation</w:t>
      </w:r>
    </w:p>
    <w:p w:rsidR="004E2642" w:rsidRPr="00711880" w:rsidRDefault="000130DC" w:rsidP="00B37DBC">
      <w:pPr>
        <w:rPr>
          <w:rFonts w:ascii="Calibri" w:eastAsia="Calibri" w:hAnsi="Calibri" w:cs="Calibri"/>
        </w:rPr>
      </w:pPr>
      <w:r w:rsidRPr="008F360A">
        <w:rPr>
          <w:rFonts w:ascii="Calibri" w:eastAsia="Calibri" w:hAnsi="Calibri" w:cs="Calibri"/>
        </w:rPr>
        <w:t>The R</w:t>
      </w:r>
      <w:r w:rsidR="18663625" w:rsidRPr="008F360A">
        <w:rPr>
          <w:rFonts w:ascii="Calibri" w:eastAsia="Calibri" w:hAnsi="Calibri" w:cs="Calibri"/>
        </w:rPr>
        <w:t xml:space="preserve">eview will be </w:t>
      </w:r>
      <w:r w:rsidR="00AC6367" w:rsidRPr="00711880">
        <w:rPr>
          <w:rFonts w:ascii="Calibri" w:eastAsia="Calibri" w:hAnsi="Calibri" w:cs="Calibri"/>
        </w:rPr>
        <w:t>led</w:t>
      </w:r>
      <w:r w:rsidR="18663625" w:rsidRPr="00711880">
        <w:rPr>
          <w:rFonts w:ascii="Calibri" w:eastAsia="Calibri" w:hAnsi="Calibri" w:cs="Calibri"/>
        </w:rPr>
        <w:t xml:space="preserve"> by an </w:t>
      </w:r>
      <w:r w:rsidR="00AC6367" w:rsidRPr="00711880">
        <w:rPr>
          <w:rFonts w:ascii="Calibri" w:eastAsia="Calibri" w:hAnsi="Calibri" w:cs="Calibri"/>
        </w:rPr>
        <w:t>eminent individual with</w:t>
      </w:r>
      <w:r w:rsidR="008F7FEB" w:rsidRPr="00711880">
        <w:rPr>
          <w:rFonts w:ascii="Calibri" w:eastAsia="Calibri" w:hAnsi="Calibri" w:cs="Calibri"/>
        </w:rPr>
        <w:t xml:space="preserve"> relevant</w:t>
      </w:r>
      <w:r w:rsidR="00AC6367" w:rsidRPr="00711880">
        <w:rPr>
          <w:rFonts w:ascii="Calibri" w:eastAsia="Calibri" w:hAnsi="Calibri" w:cs="Calibri"/>
        </w:rPr>
        <w:t xml:space="preserve"> experience in health and regulatory</w:t>
      </w:r>
      <w:r w:rsidR="18663625" w:rsidRPr="00711880">
        <w:rPr>
          <w:rFonts w:ascii="Calibri" w:eastAsia="Calibri" w:hAnsi="Calibri" w:cs="Calibri"/>
        </w:rPr>
        <w:t xml:space="preserve"> </w:t>
      </w:r>
      <w:r w:rsidR="00AC6367" w:rsidRPr="00711880">
        <w:rPr>
          <w:rFonts w:ascii="Calibri" w:eastAsia="Calibri" w:hAnsi="Calibri" w:cs="Calibri"/>
        </w:rPr>
        <w:t xml:space="preserve">policy. </w:t>
      </w:r>
      <w:r w:rsidR="18663625" w:rsidRPr="00711880">
        <w:rPr>
          <w:rFonts w:ascii="Calibri" w:eastAsia="Calibri" w:hAnsi="Calibri" w:cs="Calibri"/>
        </w:rPr>
        <w:t xml:space="preserve">The </w:t>
      </w:r>
      <w:r w:rsidR="00AC6367" w:rsidRPr="00711880">
        <w:rPr>
          <w:rFonts w:ascii="Calibri" w:eastAsia="Calibri" w:hAnsi="Calibri" w:cs="Calibri"/>
        </w:rPr>
        <w:t>R</w:t>
      </w:r>
      <w:r w:rsidR="18663625" w:rsidRPr="00711880">
        <w:rPr>
          <w:rFonts w:ascii="Calibri" w:eastAsia="Calibri" w:hAnsi="Calibri" w:cs="Calibri"/>
        </w:rPr>
        <w:t>eview</w:t>
      </w:r>
      <w:r w:rsidR="00711880">
        <w:rPr>
          <w:rFonts w:ascii="Calibri" w:eastAsia="Calibri" w:hAnsi="Calibri" w:cs="Calibri"/>
        </w:rPr>
        <w:t>er</w:t>
      </w:r>
      <w:r w:rsidR="18663625" w:rsidRPr="00711880">
        <w:rPr>
          <w:rFonts w:ascii="Calibri" w:eastAsia="Calibri" w:hAnsi="Calibri" w:cs="Calibri"/>
        </w:rPr>
        <w:t xml:space="preserve"> </w:t>
      </w:r>
      <w:r w:rsidR="00AC6367" w:rsidRPr="00711880">
        <w:rPr>
          <w:rFonts w:ascii="Calibri" w:eastAsia="Calibri" w:hAnsi="Calibri" w:cs="Calibri"/>
        </w:rPr>
        <w:t xml:space="preserve">Lead </w:t>
      </w:r>
      <w:r w:rsidR="18663625" w:rsidRPr="00711880">
        <w:rPr>
          <w:rFonts w:ascii="Calibri" w:eastAsia="Calibri" w:hAnsi="Calibri" w:cs="Calibri"/>
        </w:rPr>
        <w:t xml:space="preserve">will be supported by a secretariat of officials from the </w:t>
      </w:r>
      <w:r w:rsidR="00AC6367" w:rsidRPr="00711880">
        <w:rPr>
          <w:rFonts w:ascii="Calibri" w:eastAsia="Calibri" w:hAnsi="Calibri" w:cs="Calibri"/>
        </w:rPr>
        <w:t xml:space="preserve">Australian Government </w:t>
      </w:r>
      <w:r w:rsidR="18663625" w:rsidRPr="00711880">
        <w:rPr>
          <w:rFonts w:ascii="Calibri" w:eastAsia="Calibri" w:hAnsi="Calibri" w:cs="Calibri"/>
        </w:rPr>
        <w:t>Department of Health</w:t>
      </w:r>
      <w:r w:rsidR="00721B7C" w:rsidRPr="00711880">
        <w:rPr>
          <w:rFonts w:ascii="Calibri" w:eastAsia="Calibri" w:hAnsi="Calibri" w:cs="Calibri"/>
        </w:rPr>
        <w:t xml:space="preserve"> and Aged Care</w:t>
      </w:r>
      <w:r w:rsidR="18663625" w:rsidRPr="00711880">
        <w:rPr>
          <w:rFonts w:ascii="Calibri" w:eastAsia="Calibri" w:hAnsi="Calibri" w:cs="Calibri"/>
        </w:rPr>
        <w:t xml:space="preserve"> and the </w:t>
      </w:r>
      <w:r w:rsidR="00AC6367" w:rsidRPr="00711880">
        <w:rPr>
          <w:rFonts w:ascii="Calibri" w:eastAsia="Calibri" w:hAnsi="Calibri" w:cs="Calibri"/>
        </w:rPr>
        <w:t xml:space="preserve">Australian Government </w:t>
      </w:r>
      <w:r w:rsidR="18663625" w:rsidRPr="00711880">
        <w:rPr>
          <w:rFonts w:ascii="Calibri" w:eastAsia="Calibri" w:hAnsi="Calibri" w:cs="Calibri"/>
        </w:rPr>
        <w:t>Department of Finance</w:t>
      </w:r>
      <w:r w:rsidRPr="00711880">
        <w:rPr>
          <w:rFonts w:ascii="Calibri" w:eastAsia="Calibri" w:hAnsi="Calibri" w:cs="Calibri"/>
        </w:rPr>
        <w:t>.</w:t>
      </w:r>
    </w:p>
    <w:p w:rsidR="00E61BF7" w:rsidRPr="00711880" w:rsidRDefault="00A93CD2" w:rsidP="00B37DBC">
      <w:pPr>
        <w:rPr>
          <w:rFonts w:ascii="Calibri" w:eastAsia="Calibri" w:hAnsi="Calibri" w:cs="Calibri"/>
        </w:rPr>
      </w:pPr>
      <w:r w:rsidRPr="00711880">
        <w:rPr>
          <w:rFonts w:ascii="Calibri" w:eastAsia="Calibri" w:hAnsi="Calibri" w:cs="Calibri"/>
        </w:rPr>
        <w:t xml:space="preserve">The Review </w:t>
      </w:r>
      <w:r w:rsidR="00E61BF7" w:rsidRPr="00711880">
        <w:rPr>
          <w:rFonts w:ascii="Calibri" w:eastAsia="Calibri" w:hAnsi="Calibri" w:cs="Calibri"/>
        </w:rPr>
        <w:t xml:space="preserve">is strongly supported by </w:t>
      </w:r>
      <w:r w:rsidR="007027D6" w:rsidRPr="00711880">
        <w:rPr>
          <w:rFonts w:ascii="Calibri" w:eastAsia="Calibri" w:hAnsi="Calibri" w:cs="Calibri"/>
        </w:rPr>
        <w:t>state and territor</w:t>
      </w:r>
      <w:r w:rsidR="00E61BF7" w:rsidRPr="00711880">
        <w:rPr>
          <w:rFonts w:ascii="Calibri" w:eastAsia="Calibri" w:hAnsi="Calibri" w:cs="Calibri"/>
        </w:rPr>
        <w:t xml:space="preserve">y governments, which are responsible for the legislative framework for health practitioner regulation, and each government will provide </w:t>
      </w:r>
      <w:r w:rsidR="00B8488D" w:rsidRPr="00711880">
        <w:rPr>
          <w:rFonts w:ascii="Calibri" w:eastAsia="Calibri" w:hAnsi="Calibri" w:cs="Calibri"/>
        </w:rPr>
        <w:t xml:space="preserve">appropriate </w:t>
      </w:r>
      <w:r w:rsidR="00E61BF7" w:rsidRPr="00711880">
        <w:rPr>
          <w:rFonts w:ascii="Calibri" w:eastAsia="Calibri" w:hAnsi="Calibri" w:cs="Calibri"/>
        </w:rPr>
        <w:t>support to ensure the success of the Review.</w:t>
      </w:r>
    </w:p>
    <w:p w:rsidR="00A772D0" w:rsidRPr="00711880" w:rsidRDefault="00A772D0" w:rsidP="00B37DBC">
      <w:pPr>
        <w:rPr>
          <w:rFonts w:ascii="Calibri" w:eastAsia="Calibri" w:hAnsi="Calibri" w:cs="Calibri"/>
        </w:rPr>
      </w:pPr>
      <w:r w:rsidRPr="00711880">
        <w:rPr>
          <w:rFonts w:ascii="Calibri" w:eastAsia="Calibri" w:hAnsi="Calibri" w:cs="Calibri"/>
        </w:rPr>
        <w:t xml:space="preserve">The Review will </w:t>
      </w:r>
      <w:r w:rsidR="00295DC8">
        <w:rPr>
          <w:rFonts w:ascii="Calibri" w:eastAsia="Calibri" w:hAnsi="Calibri" w:cs="Calibri"/>
        </w:rPr>
        <w:t>consult</w:t>
      </w:r>
      <w:r w:rsidRPr="00711880">
        <w:rPr>
          <w:rFonts w:ascii="Calibri" w:eastAsia="Calibri" w:hAnsi="Calibri" w:cs="Calibri"/>
        </w:rPr>
        <w:t xml:space="preserve"> </w:t>
      </w:r>
      <w:r w:rsidR="008C4B55" w:rsidRPr="00711880">
        <w:rPr>
          <w:rFonts w:ascii="Calibri" w:eastAsia="Calibri" w:hAnsi="Calibri" w:cs="Calibri"/>
        </w:rPr>
        <w:t xml:space="preserve">Ahpra and </w:t>
      </w:r>
      <w:r w:rsidR="009461EA">
        <w:rPr>
          <w:rFonts w:ascii="Calibri" w:eastAsia="Calibri" w:hAnsi="Calibri" w:cs="Calibri"/>
        </w:rPr>
        <w:t xml:space="preserve">regularly update and </w:t>
      </w:r>
      <w:r w:rsidR="00295DC8">
        <w:rPr>
          <w:rFonts w:ascii="Calibri" w:eastAsia="Calibri" w:hAnsi="Calibri" w:cs="Calibri"/>
        </w:rPr>
        <w:t xml:space="preserve">seek input from states and territories through </w:t>
      </w:r>
      <w:r w:rsidRPr="00711880">
        <w:rPr>
          <w:rFonts w:ascii="Calibri" w:eastAsia="Calibri" w:hAnsi="Calibri" w:cs="Calibri"/>
        </w:rPr>
        <w:t>the Health Minister</w:t>
      </w:r>
      <w:r w:rsidR="00721B7C" w:rsidRPr="00711880">
        <w:rPr>
          <w:rFonts w:ascii="Calibri" w:eastAsia="Calibri" w:hAnsi="Calibri" w:cs="Calibri"/>
        </w:rPr>
        <w:t>s</w:t>
      </w:r>
      <w:r w:rsidRPr="00711880">
        <w:rPr>
          <w:rFonts w:ascii="Calibri" w:eastAsia="Calibri" w:hAnsi="Calibri" w:cs="Calibri"/>
        </w:rPr>
        <w:t xml:space="preserve">’ </w:t>
      </w:r>
      <w:r w:rsidR="00721B7C" w:rsidRPr="00711880">
        <w:rPr>
          <w:rFonts w:ascii="Calibri" w:eastAsia="Calibri" w:hAnsi="Calibri" w:cs="Calibri"/>
        </w:rPr>
        <w:t>Meeting</w:t>
      </w:r>
      <w:r w:rsidR="009461EA">
        <w:rPr>
          <w:rFonts w:ascii="Calibri" w:eastAsia="Calibri" w:hAnsi="Calibri" w:cs="Calibri"/>
        </w:rPr>
        <w:t>,</w:t>
      </w:r>
      <w:r w:rsidR="00295DC8">
        <w:rPr>
          <w:rFonts w:ascii="Calibri" w:eastAsia="Calibri" w:hAnsi="Calibri" w:cs="Calibri"/>
        </w:rPr>
        <w:t xml:space="preserve"> First Secretaries </w:t>
      </w:r>
      <w:r w:rsidR="009461EA">
        <w:rPr>
          <w:rFonts w:ascii="Calibri" w:eastAsia="Calibri" w:hAnsi="Calibri" w:cs="Calibri"/>
        </w:rPr>
        <w:t xml:space="preserve">Group, Health Chief Executives Forum </w:t>
      </w:r>
      <w:r w:rsidR="00C94793">
        <w:rPr>
          <w:rFonts w:ascii="Calibri" w:eastAsia="Calibri" w:hAnsi="Calibri" w:cs="Calibri"/>
        </w:rPr>
        <w:t>and First Deputies </w:t>
      </w:r>
      <w:r w:rsidR="00295DC8">
        <w:rPr>
          <w:rFonts w:ascii="Calibri" w:eastAsia="Calibri" w:hAnsi="Calibri" w:cs="Calibri"/>
        </w:rPr>
        <w:t>Group</w:t>
      </w:r>
      <w:r w:rsidR="005D50C2" w:rsidRPr="00711880">
        <w:rPr>
          <w:rFonts w:ascii="Calibri" w:eastAsia="Calibri" w:hAnsi="Calibri" w:cs="Calibri"/>
        </w:rPr>
        <w:t>.</w:t>
      </w:r>
      <w:r w:rsidRPr="00711880">
        <w:rPr>
          <w:rFonts w:ascii="Calibri" w:eastAsia="Calibri" w:hAnsi="Calibri" w:cs="Calibri"/>
        </w:rPr>
        <w:t xml:space="preserve"> </w:t>
      </w:r>
      <w:r w:rsidR="00BF1719" w:rsidRPr="00711880" w:rsidDel="00BF1719">
        <w:rPr>
          <w:rFonts w:ascii="Calibri" w:eastAsia="Calibri" w:hAnsi="Calibri" w:cs="Calibri"/>
        </w:rPr>
        <w:t xml:space="preserve"> </w:t>
      </w:r>
    </w:p>
    <w:p w:rsidR="00A93CD2" w:rsidRPr="008F360A" w:rsidRDefault="00E61BF7" w:rsidP="00B37DBC">
      <w:pPr>
        <w:rPr>
          <w:rFonts w:ascii="Calibri" w:hAnsi="Calibri" w:cs="Calibri"/>
        </w:rPr>
      </w:pPr>
      <w:r w:rsidRPr="00711880">
        <w:rPr>
          <w:rFonts w:ascii="Calibri" w:eastAsia="Calibri" w:hAnsi="Calibri" w:cs="Calibri"/>
        </w:rPr>
        <w:t xml:space="preserve">The Review will engage with a broad range of </w:t>
      </w:r>
      <w:r w:rsidR="00A772D0" w:rsidRPr="00711880">
        <w:rPr>
          <w:rFonts w:ascii="Calibri" w:eastAsia="Calibri" w:hAnsi="Calibri" w:cs="Calibri"/>
        </w:rPr>
        <w:t xml:space="preserve">other </w:t>
      </w:r>
      <w:r w:rsidR="009241E6" w:rsidRPr="00711880">
        <w:rPr>
          <w:rFonts w:ascii="Calibri" w:eastAsia="Calibri" w:hAnsi="Calibri" w:cs="Calibri"/>
        </w:rPr>
        <w:t>relevant</w:t>
      </w:r>
      <w:r w:rsidR="00370A9D" w:rsidRPr="00711880">
        <w:rPr>
          <w:rFonts w:ascii="Calibri" w:eastAsia="Calibri" w:hAnsi="Calibri" w:cs="Calibri"/>
        </w:rPr>
        <w:t xml:space="preserve"> stakeholders</w:t>
      </w:r>
      <w:r w:rsidR="00342A54" w:rsidRPr="00711880">
        <w:rPr>
          <w:rFonts w:ascii="Calibri" w:eastAsia="Calibri" w:hAnsi="Calibri" w:cs="Calibri"/>
        </w:rPr>
        <w:t xml:space="preserve"> to ensure </w:t>
      </w:r>
      <w:r w:rsidR="00370A9D" w:rsidRPr="00711880">
        <w:rPr>
          <w:rFonts w:ascii="Calibri" w:eastAsia="Calibri" w:hAnsi="Calibri" w:cs="Calibri"/>
        </w:rPr>
        <w:t xml:space="preserve">recommendations are </w:t>
      </w:r>
      <w:r w:rsidR="00342A54" w:rsidRPr="00711880">
        <w:rPr>
          <w:rFonts w:ascii="Calibri" w:eastAsia="Calibri" w:hAnsi="Calibri" w:cs="Calibri"/>
        </w:rPr>
        <w:t>practical</w:t>
      </w:r>
      <w:r w:rsidR="009241E6" w:rsidRPr="00711880">
        <w:rPr>
          <w:rFonts w:ascii="Calibri" w:eastAsia="Calibri" w:hAnsi="Calibri" w:cs="Calibri"/>
        </w:rPr>
        <w:t>,</w:t>
      </w:r>
      <w:r w:rsidR="00342A54" w:rsidRPr="00711880">
        <w:rPr>
          <w:rFonts w:ascii="Calibri" w:eastAsia="Calibri" w:hAnsi="Calibri" w:cs="Calibri"/>
        </w:rPr>
        <w:t xml:space="preserve"> implementable</w:t>
      </w:r>
      <w:r w:rsidR="009241E6" w:rsidRPr="00711880">
        <w:rPr>
          <w:rFonts w:ascii="Calibri" w:eastAsia="Calibri" w:hAnsi="Calibri" w:cs="Calibri"/>
        </w:rPr>
        <w:t xml:space="preserve"> and can deliver the health workforce Australia needs to ensure high-quality and timely health services</w:t>
      </w:r>
      <w:r w:rsidR="00D62807" w:rsidRPr="00711880">
        <w:rPr>
          <w:rFonts w:ascii="Calibri" w:eastAsia="Calibri" w:hAnsi="Calibri" w:cs="Calibri"/>
        </w:rPr>
        <w:t>.</w:t>
      </w:r>
      <w:r w:rsidR="00342A54" w:rsidRPr="00711880">
        <w:rPr>
          <w:rFonts w:ascii="Calibri" w:eastAsia="Calibri" w:hAnsi="Calibri" w:cs="Calibri"/>
        </w:rPr>
        <w:t xml:space="preserve"> </w:t>
      </w:r>
      <w:r w:rsidR="000130DC" w:rsidRPr="00711880">
        <w:rPr>
          <w:rFonts w:ascii="Calibri" w:eastAsia="Calibri" w:hAnsi="Calibri" w:cs="Calibri"/>
        </w:rPr>
        <w:t>T</w:t>
      </w:r>
      <w:r w:rsidR="004E2642" w:rsidRPr="00711880">
        <w:rPr>
          <w:rFonts w:ascii="Calibri" w:eastAsia="Calibri" w:hAnsi="Calibri" w:cs="Calibri"/>
        </w:rPr>
        <w:t>he Review Lead may also seek independent advice and analysis on any matter within the Review scope,</w:t>
      </w:r>
      <w:r w:rsidR="00670B88" w:rsidRPr="00711880">
        <w:rPr>
          <w:rFonts w:ascii="Calibri" w:eastAsia="Calibri" w:hAnsi="Calibri" w:cs="Calibri"/>
        </w:rPr>
        <w:t xml:space="preserve"> </w:t>
      </w:r>
      <w:r w:rsidR="004E2642" w:rsidRPr="00711880">
        <w:rPr>
          <w:rFonts w:ascii="Calibri" w:eastAsia="Calibri" w:hAnsi="Calibri" w:cs="Calibri"/>
        </w:rPr>
        <w:t>and may consider convening an advisory panel of experts</w:t>
      </w:r>
      <w:r w:rsidR="000130DC" w:rsidRPr="00711880">
        <w:rPr>
          <w:rFonts w:ascii="Calibri" w:eastAsia="Calibri" w:hAnsi="Calibri" w:cs="Calibri"/>
        </w:rPr>
        <w:t xml:space="preserve"> and/or holding public consultations</w:t>
      </w:r>
      <w:r w:rsidR="004E2642" w:rsidRPr="00711880">
        <w:rPr>
          <w:rFonts w:ascii="Calibri" w:eastAsia="Calibri" w:hAnsi="Calibri" w:cs="Calibri"/>
        </w:rPr>
        <w:t xml:space="preserve"> for this purpose.</w:t>
      </w:r>
      <w:r w:rsidR="004E2642" w:rsidRPr="008F360A">
        <w:rPr>
          <w:rFonts w:ascii="Calibri" w:eastAsia="Calibri" w:hAnsi="Calibri" w:cs="Calibri"/>
        </w:rPr>
        <w:t xml:space="preserve"> </w:t>
      </w:r>
    </w:p>
    <w:sectPr w:rsidR="00A93CD2" w:rsidRPr="008F360A" w:rsidSect="0016439C">
      <w:headerReference w:type="even" r:id="rId12"/>
      <w:headerReference w:type="default" r:id="rId13"/>
      <w:footerReference w:type="default" r:id="rId14"/>
      <w:headerReference w:type="first" r:id="rId15"/>
      <w:pgSz w:w="11906" w:h="16838"/>
      <w:pgMar w:top="1134" w:right="1247" w:bottom="1134" w:left="124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E5" w:rsidRDefault="00381BE5" w:rsidP="00DF4C6C">
      <w:pPr>
        <w:spacing w:after="0" w:line="240" w:lineRule="auto"/>
      </w:pPr>
      <w:r>
        <w:separator/>
      </w:r>
    </w:p>
  </w:endnote>
  <w:endnote w:type="continuationSeparator" w:id="0">
    <w:p w:rsidR="00381BE5" w:rsidRDefault="00381BE5" w:rsidP="00DF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20"/>
        <w:szCs w:val="20"/>
      </w:rPr>
      <w:id w:val="-195978161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rsidR="00DF4C6C" w:rsidRPr="008F360A" w:rsidRDefault="007F3A11" w:rsidP="000A25B9">
            <w:pPr>
              <w:pStyle w:val="Footer"/>
              <w:jc w:val="right"/>
              <w:rPr>
                <w:rFonts w:ascii="Calibri" w:hAnsi="Calibri" w:cs="Calibri"/>
              </w:rPr>
            </w:pPr>
            <w:r w:rsidRPr="008F360A">
              <w:rPr>
                <w:rFonts w:ascii="Calibri" w:hAnsi="Calibri" w:cs="Calibri"/>
                <w:sz w:val="20"/>
                <w:szCs w:val="20"/>
              </w:rPr>
              <w:t xml:space="preserve">Page </w:t>
            </w:r>
            <w:r w:rsidRPr="008F360A">
              <w:rPr>
                <w:rFonts w:ascii="Calibri" w:hAnsi="Calibri" w:cs="Calibri"/>
                <w:bCs/>
                <w:sz w:val="20"/>
                <w:szCs w:val="20"/>
              </w:rPr>
              <w:fldChar w:fldCharType="begin"/>
            </w:r>
            <w:r w:rsidRPr="008F360A">
              <w:rPr>
                <w:rFonts w:ascii="Calibri" w:hAnsi="Calibri" w:cs="Calibri"/>
                <w:bCs/>
                <w:sz w:val="20"/>
                <w:szCs w:val="20"/>
              </w:rPr>
              <w:instrText xml:space="preserve"> PAGE </w:instrText>
            </w:r>
            <w:r w:rsidRPr="008F360A">
              <w:rPr>
                <w:rFonts w:ascii="Calibri" w:hAnsi="Calibri" w:cs="Calibri"/>
                <w:bCs/>
                <w:sz w:val="20"/>
                <w:szCs w:val="20"/>
              </w:rPr>
              <w:fldChar w:fldCharType="separate"/>
            </w:r>
            <w:r w:rsidR="0067670E">
              <w:rPr>
                <w:rFonts w:ascii="Calibri" w:hAnsi="Calibri" w:cs="Calibri"/>
                <w:bCs/>
                <w:noProof/>
                <w:sz w:val="20"/>
                <w:szCs w:val="20"/>
              </w:rPr>
              <w:t>2</w:t>
            </w:r>
            <w:r w:rsidRPr="008F360A">
              <w:rPr>
                <w:rFonts w:ascii="Calibri" w:hAnsi="Calibri" w:cs="Calibri"/>
                <w:bCs/>
                <w:sz w:val="20"/>
                <w:szCs w:val="20"/>
              </w:rPr>
              <w:fldChar w:fldCharType="end"/>
            </w:r>
            <w:r w:rsidRPr="008F360A">
              <w:rPr>
                <w:rFonts w:ascii="Calibri" w:hAnsi="Calibri" w:cs="Calibri"/>
                <w:sz w:val="20"/>
                <w:szCs w:val="20"/>
              </w:rPr>
              <w:t xml:space="preserve"> of </w:t>
            </w:r>
            <w:r w:rsidRPr="008F360A">
              <w:rPr>
                <w:rFonts w:ascii="Calibri" w:hAnsi="Calibri" w:cs="Calibri"/>
                <w:bCs/>
                <w:sz w:val="20"/>
                <w:szCs w:val="20"/>
              </w:rPr>
              <w:fldChar w:fldCharType="begin"/>
            </w:r>
            <w:r w:rsidRPr="008F360A">
              <w:rPr>
                <w:rFonts w:ascii="Calibri" w:hAnsi="Calibri" w:cs="Calibri"/>
                <w:bCs/>
                <w:sz w:val="20"/>
                <w:szCs w:val="20"/>
              </w:rPr>
              <w:instrText xml:space="preserve"> NUMPAGES  </w:instrText>
            </w:r>
            <w:r w:rsidRPr="008F360A">
              <w:rPr>
                <w:rFonts w:ascii="Calibri" w:hAnsi="Calibri" w:cs="Calibri"/>
                <w:bCs/>
                <w:sz w:val="20"/>
                <w:szCs w:val="20"/>
              </w:rPr>
              <w:fldChar w:fldCharType="separate"/>
            </w:r>
            <w:r w:rsidR="0067670E">
              <w:rPr>
                <w:rFonts w:ascii="Calibri" w:hAnsi="Calibri" w:cs="Calibri"/>
                <w:bCs/>
                <w:noProof/>
                <w:sz w:val="20"/>
                <w:szCs w:val="20"/>
              </w:rPr>
              <w:t>2</w:t>
            </w:r>
            <w:r w:rsidRPr="008F360A">
              <w:rPr>
                <w:rFonts w:ascii="Calibri" w:hAnsi="Calibri" w:cs="Calibr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E5" w:rsidRDefault="00381BE5" w:rsidP="00DF4C6C">
      <w:pPr>
        <w:spacing w:after="0" w:line="240" w:lineRule="auto"/>
      </w:pPr>
      <w:r>
        <w:separator/>
      </w:r>
    </w:p>
  </w:footnote>
  <w:footnote w:type="continuationSeparator" w:id="0">
    <w:p w:rsidR="00381BE5" w:rsidRDefault="00381BE5" w:rsidP="00DF4C6C">
      <w:pPr>
        <w:spacing w:after="0" w:line="240" w:lineRule="auto"/>
      </w:pPr>
      <w:r>
        <w:continuationSeparator/>
      </w:r>
    </w:p>
  </w:footnote>
  <w:footnote w:id="1">
    <w:p w:rsidR="00711880" w:rsidRDefault="00711880" w:rsidP="00711880">
      <w:pPr>
        <w:pStyle w:val="FootnoteText"/>
      </w:pPr>
      <w:r w:rsidRPr="000A25B9">
        <w:rPr>
          <w:rStyle w:val="FootnoteReference"/>
          <w:sz w:val="18"/>
        </w:rPr>
        <w:footnoteRef/>
      </w:r>
      <w:r w:rsidRPr="000A25B9">
        <w:rPr>
          <w:sz w:val="18"/>
        </w:rPr>
        <w:t xml:space="preserve"> </w:t>
      </w:r>
      <w:r w:rsidRPr="000A25B9">
        <w:rPr>
          <w:i/>
          <w:sz w:val="18"/>
        </w:rPr>
        <w:t>Health Practitioner Regulation National Law Act</w:t>
      </w:r>
      <w:r w:rsidRPr="000A25B9">
        <w:rPr>
          <w:sz w:val="18"/>
        </w:rPr>
        <w:t xml:space="preserve"> 2009, Section 3 (2),   </w:t>
      </w:r>
      <w:r w:rsidRPr="000A25B9">
        <w:rPr>
          <w:sz w:val="18"/>
        </w:rPr>
        <w:br/>
      </w:r>
      <w:hyperlink r:id="rId1" w:history="1">
        <w:r w:rsidR="00DB15A4" w:rsidRPr="00BC1716">
          <w:rPr>
            <w:rStyle w:val="Hyperlink"/>
            <w:sz w:val="18"/>
          </w:rPr>
          <w:t>www.legislation.qld.gov.au/view/whole/html/inforce/current/act-2009-045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6C" w:rsidRDefault="00DF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6C" w:rsidRPr="00B257E3" w:rsidRDefault="00DF4C6C" w:rsidP="00B257E3">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6C" w:rsidRDefault="00DF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D38"/>
    <w:multiLevelType w:val="hybridMultilevel"/>
    <w:tmpl w:val="55E6BF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27038"/>
    <w:multiLevelType w:val="hybridMultilevel"/>
    <w:tmpl w:val="C9125A68"/>
    <w:lvl w:ilvl="0" w:tplc="B5949C02">
      <w:start w:val="1"/>
      <w:numFmt w:val="bullet"/>
      <w:lvlText w:val=""/>
      <w:lvlJc w:val="left"/>
      <w:pPr>
        <w:ind w:left="720" w:hanging="360"/>
      </w:pPr>
      <w:rPr>
        <w:rFonts w:ascii="Symbol" w:hAnsi="Symbol" w:hint="default"/>
      </w:rPr>
    </w:lvl>
    <w:lvl w:ilvl="1" w:tplc="9D123ADA">
      <w:start w:val="1"/>
      <w:numFmt w:val="bullet"/>
      <w:lvlText w:val="o"/>
      <w:lvlJc w:val="left"/>
      <w:pPr>
        <w:ind w:left="1440" w:hanging="360"/>
      </w:pPr>
      <w:rPr>
        <w:rFonts w:ascii="Courier New" w:hAnsi="Courier New" w:hint="default"/>
      </w:rPr>
    </w:lvl>
    <w:lvl w:ilvl="2" w:tplc="0BECCCE2">
      <w:start w:val="1"/>
      <w:numFmt w:val="bullet"/>
      <w:lvlText w:val=""/>
      <w:lvlJc w:val="left"/>
      <w:pPr>
        <w:ind w:left="2160" w:hanging="360"/>
      </w:pPr>
      <w:rPr>
        <w:rFonts w:ascii="Wingdings" w:hAnsi="Wingdings" w:hint="default"/>
      </w:rPr>
    </w:lvl>
    <w:lvl w:ilvl="3" w:tplc="AA8A16AC">
      <w:start w:val="1"/>
      <w:numFmt w:val="bullet"/>
      <w:lvlText w:val=""/>
      <w:lvlJc w:val="left"/>
      <w:pPr>
        <w:ind w:left="2880" w:hanging="360"/>
      </w:pPr>
      <w:rPr>
        <w:rFonts w:ascii="Symbol" w:hAnsi="Symbol" w:hint="default"/>
      </w:rPr>
    </w:lvl>
    <w:lvl w:ilvl="4" w:tplc="0218A8FC">
      <w:start w:val="1"/>
      <w:numFmt w:val="bullet"/>
      <w:lvlText w:val="o"/>
      <w:lvlJc w:val="left"/>
      <w:pPr>
        <w:ind w:left="3600" w:hanging="360"/>
      </w:pPr>
      <w:rPr>
        <w:rFonts w:ascii="Courier New" w:hAnsi="Courier New" w:hint="default"/>
      </w:rPr>
    </w:lvl>
    <w:lvl w:ilvl="5" w:tplc="67E4FD08">
      <w:start w:val="1"/>
      <w:numFmt w:val="bullet"/>
      <w:lvlText w:val=""/>
      <w:lvlJc w:val="left"/>
      <w:pPr>
        <w:ind w:left="4320" w:hanging="360"/>
      </w:pPr>
      <w:rPr>
        <w:rFonts w:ascii="Wingdings" w:hAnsi="Wingdings" w:hint="default"/>
      </w:rPr>
    </w:lvl>
    <w:lvl w:ilvl="6" w:tplc="B7D4DB20">
      <w:start w:val="1"/>
      <w:numFmt w:val="bullet"/>
      <w:lvlText w:val=""/>
      <w:lvlJc w:val="left"/>
      <w:pPr>
        <w:ind w:left="5040" w:hanging="360"/>
      </w:pPr>
      <w:rPr>
        <w:rFonts w:ascii="Symbol" w:hAnsi="Symbol" w:hint="default"/>
      </w:rPr>
    </w:lvl>
    <w:lvl w:ilvl="7" w:tplc="FF7E190E">
      <w:start w:val="1"/>
      <w:numFmt w:val="bullet"/>
      <w:lvlText w:val="o"/>
      <w:lvlJc w:val="left"/>
      <w:pPr>
        <w:ind w:left="5760" w:hanging="360"/>
      </w:pPr>
      <w:rPr>
        <w:rFonts w:ascii="Courier New" w:hAnsi="Courier New" w:hint="default"/>
      </w:rPr>
    </w:lvl>
    <w:lvl w:ilvl="8" w:tplc="87566D22">
      <w:start w:val="1"/>
      <w:numFmt w:val="bullet"/>
      <w:lvlText w:val=""/>
      <w:lvlJc w:val="left"/>
      <w:pPr>
        <w:ind w:left="6480" w:hanging="360"/>
      </w:pPr>
      <w:rPr>
        <w:rFonts w:ascii="Wingdings" w:hAnsi="Wingdings" w:hint="default"/>
      </w:rPr>
    </w:lvl>
  </w:abstractNum>
  <w:abstractNum w:abstractNumId="2" w15:restartNumberingAfterBreak="0">
    <w:nsid w:val="1216003F"/>
    <w:multiLevelType w:val="hybridMultilevel"/>
    <w:tmpl w:val="0652C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243A6"/>
    <w:multiLevelType w:val="hybridMultilevel"/>
    <w:tmpl w:val="0B84401C"/>
    <w:lvl w:ilvl="0" w:tplc="5E4057AE">
      <w:numFmt w:val="bullet"/>
      <w:lvlText w:val="-"/>
      <w:lvlJc w:val="left"/>
      <w:pPr>
        <w:ind w:left="1143" w:hanging="420"/>
      </w:pPr>
      <w:rPr>
        <w:rFonts w:ascii="Calibri" w:eastAsiaTheme="minorHAnsi" w:hAnsi="Calibri" w:cs="Calibri"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 w15:restartNumberingAfterBreak="0">
    <w:nsid w:val="1ED34BEA"/>
    <w:multiLevelType w:val="hybridMultilevel"/>
    <w:tmpl w:val="41B4F3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516A3E"/>
    <w:multiLevelType w:val="hybridMultilevel"/>
    <w:tmpl w:val="28BA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F54E7A"/>
    <w:multiLevelType w:val="hybridMultilevel"/>
    <w:tmpl w:val="B8B6C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AB0881"/>
    <w:multiLevelType w:val="hybridMultilevel"/>
    <w:tmpl w:val="00483B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EC"/>
    <w:rsid w:val="000130DC"/>
    <w:rsid w:val="00026059"/>
    <w:rsid w:val="00037C7A"/>
    <w:rsid w:val="000606DC"/>
    <w:rsid w:val="00095192"/>
    <w:rsid w:val="000A03D8"/>
    <w:rsid w:val="000A25B9"/>
    <w:rsid w:val="000A590C"/>
    <w:rsid w:val="000C2484"/>
    <w:rsid w:val="000D5F87"/>
    <w:rsid w:val="000E7142"/>
    <w:rsid w:val="0016439C"/>
    <w:rsid w:val="001B5537"/>
    <w:rsid w:val="00247E3B"/>
    <w:rsid w:val="00264041"/>
    <w:rsid w:val="00267093"/>
    <w:rsid w:val="0027488B"/>
    <w:rsid w:val="00291BBE"/>
    <w:rsid w:val="00295DC8"/>
    <w:rsid w:val="002B6D04"/>
    <w:rsid w:val="002E1E4C"/>
    <w:rsid w:val="00316F2B"/>
    <w:rsid w:val="003370B1"/>
    <w:rsid w:val="00342A54"/>
    <w:rsid w:val="00347A5F"/>
    <w:rsid w:val="00370A9D"/>
    <w:rsid w:val="00381BE5"/>
    <w:rsid w:val="003B7404"/>
    <w:rsid w:val="003C78A4"/>
    <w:rsid w:val="003E1D40"/>
    <w:rsid w:val="003E2AC5"/>
    <w:rsid w:val="004046AC"/>
    <w:rsid w:val="0043095A"/>
    <w:rsid w:val="00452C8F"/>
    <w:rsid w:val="0046363D"/>
    <w:rsid w:val="00472E25"/>
    <w:rsid w:val="004857CB"/>
    <w:rsid w:val="004D5960"/>
    <w:rsid w:val="004E2642"/>
    <w:rsid w:val="004F2918"/>
    <w:rsid w:val="005665FA"/>
    <w:rsid w:val="00575DCD"/>
    <w:rsid w:val="00592F02"/>
    <w:rsid w:val="005A3308"/>
    <w:rsid w:val="005C14C3"/>
    <w:rsid w:val="005C4E93"/>
    <w:rsid w:val="005D1F1E"/>
    <w:rsid w:val="005D50C2"/>
    <w:rsid w:val="006000D4"/>
    <w:rsid w:val="0065067F"/>
    <w:rsid w:val="00670B88"/>
    <w:rsid w:val="00672BEC"/>
    <w:rsid w:val="0067670E"/>
    <w:rsid w:val="00680A54"/>
    <w:rsid w:val="00691AA5"/>
    <w:rsid w:val="00691BD8"/>
    <w:rsid w:val="00694684"/>
    <w:rsid w:val="006B17B7"/>
    <w:rsid w:val="006C5480"/>
    <w:rsid w:val="006D480E"/>
    <w:rsid w:val="007027D6"/>
    <w:rsid w:val="007043B4"/>
    <w:rsid w:val="00711880"/>
    <w:rsid w:val="00721B7C"/>
    <w:rsid w:val="0072412F"/>
    <w:rsid w:val="00747708"/>
    <w:rsid w:val="00753D7F"/>
    <w:rsid w:val="00781B03"/>
    <w:rsid w:val="007A4137"/>
    <w:rsid w:val="007D3F4E"/>
    <w:rsid w:val="007F3A11"/>
    <w:rsid w:val="00810699"/>
    <w:rsid w:val="008137BA"/>
    <w:rsid w:val="008144D2"/>
    <w:rsid w:val="0084178D"/>
    <w:rsid w:val="0085048A"/>
    <w:rsid w:val="00874928"/>
    <w:rsid w:val="00892700"/>
    <w:rsid w:val="008A0947"/>
    <w:rsid w:val="008C4B55"/>
    <w:rsid w:val="008F360A"/>
    <w:rsid w:val="008F7FEB"/>
    <w:rsid w:val="009241E6"/>
    <w:rsid w:val="009461EA"/>
    <w:rsid w:val="00947488"/>
    <w:rsid w:val="00947A50"/>
    <w:rsid w:val="00960413"/>
    <w:rsid w:val="009811B4"/>
    <w:rsid w:val="009A5FF9"/>
    <w:rsid w:val="009E4BF2"/>
    <w:rsid w:val="009E680B"/>
    <w:rsid w:val="00A05A35"/>
    <w:rsid w:val="00A246AE"/>
    <w:rsid w:val="00A363A0"/>
    <w:rsid w:val="00A40D0F"/>
    <w:rsid w:val="00A772D0"/>
    <w:rsid w:val="00A93CD2"/>
    <w:rsid w:val="00AC6367"/>
    <w:rsid w:val="00AD6ABB"/>
    <w:rsid w:val="00AE5B88"/>
    <w:rsid w:val="00AE692E"/>
    <w:rsid w:val="00AF1936"/>
    <w:rsid w:val="00B1371B"/>
    <w:rsid w:val="00B140DE"/>
    <w:rsid w:val="00B257E3"/>
    <w:rsid w:val="00B3159B"/>
    <w:rsid w:val="00B37DBC"/>
    <w:rsid w:val="00B8488D"/>
    <w:rsid w:val="00BA19F8"/>
    <w:rsid w:val="00BA22C0"/>
    <w:rsid w:val="00BE5895"/>
    <w:rsid w:val="00BF1719"/>
    <w:rsid w:val="00BF41E9"/>
    <w:rsid w:val="00C00F40"/>
    <w:rsid w:val="00C17F56"/>
    <w:rsid w:val="00C45E10"/>
    <w:rsid w:val="00C52489"/>
    <w:rsid w:val="00C81C83"/>
    <w:rsid w:val="00C91E26"/>
    <w:rsid w:val="00C94793"/>
    <w:rsid w:val="00CB02E9"/>
    <w:rsid w:val="00CB2B7C"/>
    <w:rsid w:val="00CB635D"/>
    <w:rsid w:val="00CC3E03"/>
    <w:rsid w:val="00D16481"/>
    <w:rsid w:val="00D275FB"/>
    <w:rsid w:val="00D5535C"/>
    <w:rsid w:val="00D62807"/>
    <w:rsid w:val="00D725D2"/>
    <w:rsid w:val="00DA3FB3"/>
    <w:rsid w:val="00DB15A4"/>
    <w:rsid w:val="00DB7CCC"/>
    <w:rsid w:val="00DD1E79"/>
    <w:rsid w:val="00DF4C6C"/>
    <w:rsid w:val="00E12C70"/>
    <w:rsid w:val="00E15474"/>
    <w:rsid w:val="00E61124"/>
    <w:rsid w:val="00E61BF7"/>
    <w:rsid w:val="00E90BE0"/>
    <w:rsid w:val="00E91BEB"/>
    <w:rsid w:val="00ED2AD6"/>
    <w:rsid w:val="00EF3E32"/>
    <w:rsid w:val="00F10CEF"/>
    <w:rsid w:val="00F22546"/>
    <w:rsid w:val="00F731B5"/>
    <w:rsid w:val="00F94A16"/>
    <w:rsid w:val="00FD4C64"/>
    <w:rsid w:val="00FE716A"/>
    <w:rsid w:val="186636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9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BEC"/>
    <w:pPr>
      <w:keepNext/>
      <w:keepLines/>
      <w:spacing w:before="240" w:after="0"/>
      <w:outlineLvl w:val="0"/>
    </w:pPr>
    <w:rPr>
      <w:rFonts w:asciiTheme="majorHAnsi" w:eastAsiaTheme="majorEastAsia" w:hAnsiTheme="majorHAnsi" w:cstheme="majorBidi"/>
      <w:color w:val="56C2BE" w:themeColor="accent1" w:themeShade="BF"/>
      <w:sz w:val="32"/>
      <w:szCs w:val="32"/>
    </w:rPr>
  </w:style>
  <w:style w:type="paragraph" w:styleId="Heading2">
    <w:name w:val="heading 2"/>
    <w:basedOn w:val="Normal"/>
    <w:next w:val="Normal"/>
    <w:link w:val="Heading2Char"/>
    <w:uiPriority w:val="9"/>
    <w:unhideWhenUsed/>
    <w:qFormat/>
    <w:rsid w:val="00672BEC"/>
    <w:pPr>
      <w:keepNext/>
      <w:keepLines/>
      <w:spacing w:before="40" w:after="0"/>
      <w:outlineLvl w:val="1"/>
    </w:pPr>
    <w:rPr>
      <w:rFonts w:asciiTheme="majorHAnsi" w:eastAsiaTheme="majorEastAsia" w:hAnsiTheme="majorHAnsi" w:cstheme="majorBidi"/>
      <w:color w:val="56C2BE" w:themeColor="accent1" w:themeShade="BF"/>
      <w:sz w:val="26"/>
      <w:szCs w:val="26"/>
    </w:rPr>
  </w:style>
  <w:style w:type="paragraph" w:styleId="Heading3">
    <w:name w:val="heading 3"/>
    <w:basedOn w:val="Normal"/>
    <w:next w:val="Normal"/>
    <w:link w:val="Heading3Char"/>
    <w:uiPriority w:val="9"/>
    <w:unhideWhenUsed/>
    <w:qFormat/>
    <w:rsid w:val="000130DC"/>
    <w:pPr>
      <w:keepNext/>
      <w:keepLines/>
      <w:spacing w:before="40" w:after="0"/>
      <w:outlineLvl w:val="2"/>
    </w:pPr>
    <w:rPr>
      <w:rFonts w:asciiTheme="majorHAnsi" w:eastAsiaTheme="majorEastAsia" w:hAnsiTheme="majorHAnsi" w:cstheme="majorBidi"/>
      <w:color w:val="31888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EC"/>
    <w:rPr>
      <w:rFonts w:asciiTheme="majorHAnsi" w:eastAsiaTheme="majorEastAsia" w:hAnsiTheme="majorHAnsi" w:cstheme="majorBidi"/>
      <w:color w:val="56C2BE" w:themeColor="accent1" w:themeShade="BF"/>
      <w:sz w:val="32"/>
      <w:szCs w:val="32"/>
    </w:rPr>
  </w:style>
  <w:style w:type="character" w:customStyle="1" w:styleId="Heading2Char">
    <w:name w:val="Heading 2 Char"/>
    <w:basedOn w:val="DefaultParagraphFont"/>
    <w:link w:val="Heading2"/>
    <w:uiPriority w:val="9"/>
    <w:rsid w:val="00672BEC"/>
    <w:rPr>
      <w:rFonts w:asciiTheme="majorHAnsi" w:eastAsiaTheme="majorEastAsia" w:hAnsiTheme="majorHAnsi" w:cstheme="majorBidi"/>
      <w:color w:val="56C2BE" w:themeColor="accent1" w:themeShade="BF"/>
      <w:sz w:val="26"/>
      <w:szCs w:val="26"/>
    </w:rPr>
  </w:style>
  <w:style w:type="paragraph" w:styleId="ListParagraph">
    <w:name w:val="List Paragraph"/>
    <w:basedOn w:val="Normal"/>
    <w:uiPriority w:val="34"/>
    <w:qFormat/>
    <w:rsid w:val="00672BEC"/>
    <w:pPr>
      <w:ind w:left="720"/>
      <w:contextualSpacing/>
    </w:pPr>
  </w:style>
  <w:style w:type="paragraph" w:styleId="Header">
    <w:name w:val="header"/>
    <w:basedOn w:val="Normal"/>
    <w:link w:val="HeaderChar"/>
    <w:uiPriority w:val="99"/>
    <w:unhideWhenUsed/>
    <w:rsid w:val="00DF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C6C"/>
  </w:style>
  <w:style w:type="paragraph" w:styleId="Footer">
    <w:name w:val="footer"/>
    <w:basedOn w:val="Normal"/>
    <w:link w:val="FooterChar"/>
    <w:uiPriority w:val="99"/>
    <w:unhideWhenUsed/>
    <w:rsid w:val="00DF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C6C"/>
  </w:style>
  <w:style w:type="paragraph" w:styleId="BalloonText">
    <w:name w:val="Balloon Text"/>
    <w:basedOn w:val="Normal"/>
    <w:link w:val="BalloonTextChar"/>
    <w:uiPriority w:val="99"/>
    <w:semiHidden/>
    <w:unhideWhenUsed/>
    <w:rsid w:val="00DF4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C6C"/>
    <w:rPr>
      <w:rFonts w:ascii="Segoe UI" w:hAnsi="Segoe UI" w:cs="Segoe UI"/>
      <w:sz w:val="18"/>
      <w:szCs w:val="18"/>
    </w:rPr>
  </w:style>
  <w:style w:type="character" w:customStyle="1" w:styleId="Heading3Char">
    <w:name w:val="Heading 3 Char"/>
    <w:basedOn w:val="DefaultParagraphFont"/>
    <w:link w:val="Heading3"/>
    <w:uiPriority w:val="9"/>
    <w:rsid w:val="000130DC"/>
    <w:rPr>
      <w:rFonts w:asciiTheme="majorHAnsi" w:eastAsiaTheme="majorEastAsia" w:hAnsiTheme="majorHAnsi" w:cstheme="majorBidi"/>
      <w:color w:val="318885" w:themeColor="accent1" w:themeShade="7F"/>
      <w:sz w:val="24"/>
      <w:szCs w:val="24"/>
    </w:rPr>
  </w:style>
  <w:style w:type="character" w:styleId="CommentReference">
    <w:name w:val="annotation reference"/>
    <w:basedOn w:val="DefaultParagraphFont"/>
    <w:uiPriority w:val="99"/>
    <w:semiHidden/>
    <w:unhideWhenUsed/>
    <w:rsid w:val="00AD6ABB"/>
    <w:rPr>
      <w:sz w:val="16"/>
      <w:szCs w:val="16"/>
    </w:rPr>
  </w:style>
  <w:style w:type="paragraph" w:styleId="CommentText">
    <w:name w:val="annotation text"/>
    <w:basedOn w:val="Normal"/>
    <w:link w:val="CommentTextChar"/>
    <w:uiPriority w:val="99"/>
    <w:unhideWhenUsed/>
    <w:rsid w:val="00AD6ABB"/>
    <w:pPr>
      <w:spacing w:line="240" w:lineRule="auto"/>
    </w:pPr>
    <w:rPr>
      <w:sz w:val="20"/>
      <w:szCs w:val="20"/>
    </w:rPr>
  </w:style>
  <w:style w:type="character" w:customStyle="1" w:styleId="CommentTextChar">
    <w:name w:val="Comment Text Char"/>
    <w:basedOn w:val="DefaultParagraphFont"/>
    <w:link w:val="CommentText"/>
    <w:uiPriority w:val="99"/>
    <w:rsid w:val="00AD6ABB"/>
    <w:rPr>
      <w:sz w:val="20"/>
      <w:szCs w:val="20"/>
    </w:rPr>
  </w:style>
  <w:style w:type="paragraph" w:styleId="CommentSubject">
    <w:name w:val="annotation subject"/>
    <w:basedOn w:val="CommentText"/>
    <w:next w:val="CommentText"/>
    <w:link w:val="CommentSubjectChar"/>
    <w:uiPriority w:val="99"/>
    <w:semiHidden/>
    <w:unhideWhenUsed/>
    <w:rsid w:val="00AD6ABB"/>
    <w:rPr>
      <w:b/>
      <w:bCs/>
    </w:rPr>
  </w:style>
  <w:style w:type="character" w:customStyle="1" w:styleId="CommentSubjectChar">
    <w:name w:val="Comment Subject Char"/>
    <w:basedOn w:val="CommentTextChar"/>
    <w:link w:val="CommentSubject"/>
    <w:uiPriority w:val="99"/>
    <w:semiHidden/>
    <w:rsid w:val="00AD6ABB"/>
    <w:rPr>
      <w:b/>
      <w:bCs/>
      <w:sz w:val="20"/>
      <w:szCs w:val="20"/>
    </w:rPr>
  </w:style>
  <w:style w:type="paragraph" w:styleId="Revision">
    <w:name w:val="Revision"/>
    <w:hidden/>
    <w:uiPriority w:val="99"/>
    <w:semiHidden/>
    <w:rsid w:val="00BF41E9"/>
    <w:pPr>
      <w:spacing w:after="0" w:line="240" w:lineRule="auto"/>
    </w:pPr>
  </w:style>
  <w:style w:type="character" w:styleId="Hyperlink">
    <w:name w:val="Hyperlink"/>
    <w:basedOn w:val="DefaultParagraphFont"/>
    <w:uiPriority w:val="99"/>
    <w:unhideWhenUsed/>
    <w:rsid w:val="0046363D"/>
    <w:rPr>
      <w:color w:val="E8927C" w:themeColor="hyperlink"/>
      <w:u w:val="single"/>
    </w:rPr>
  </w:style>
  <w:style w:type="paragraph" w:styleId="FootnoteText">
    <w:name w:val="footnote text"/>
    <w:basedOn w:val="Normal"/>
    <w:link w:val="FootnoteTextChar"/>
    <w:uiPriority w:val="99"/>
    <w:semiHidden/>
    <w:unhideWhenUsed/>
    <w:rsid w:val="000A59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90C"/>
    <w:rPr>
      <w:sz w:val="20"/>
      <w:szCs w:val="20"/>
    </w:rPr>
  </w:style>
  <w:style w:type="character" w:styleId="FootnoteReference">
    <w:name w:val="footnote reference"/>
    <w:basedOn w:val="DefaultParagraphFont"/>
    <w:uiPriority w:val="99"/>
    <w:semiHidden/>
    <w:unhideWhenUsed/>
    <w:rsid w:val="000A590C"/>
    <w:rPr>
      <w:vertAlign w:val="superscript"/>
    </w:rPr>
  </w:style>
  <w:style w:type="character" w:customStyle="1" w:styleId="CommentTextChar1">
    <w:name w:val="Comment Text Char1"/>
    <w:basedOn w:val="DefaultParagraphFont"/>
    <w:uiPriority w:val="99"/>
    <w:semiHidden/>
    <w:rsid w:val="00452C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3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qld.gov.au/view/whole/html/inforce/current/act-2009-045" TargetMode="External"/></Relationships>
</file>

<file path=word/theme/theme1.xml><?xml version="1.0" encoding="utf-8"?>
<a:theme xmlns:a="http://schemas.openxmlformats.org/drawingml/2006/main" name="Financ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B969321B443C0F44B925CA0CB22FA06A" ma:contentTypeVersion="22" ma:contentTypeDescription="Create a new document." ma:contentTypeScope="" ma:versionID="985a3629d02275639ad16062ecbad8da">
  <xsd:schema xmlns:xsd="http://www.w3.org/2001/XMLSchema" xmlns:xs="http://www.w3.org/2001/XMLSchema" xmlns:p="http://schemas.microsoft.com/office/2006/metadata/properties" xmlns:ns1="http://schemas.microsoft.com/sharepoint/v3" xmlns:ns2="a334ba3b-e131-42d3-95f3-2728f5a41884" xmlns:ns3="6a7e9632-768a-49bf-85ac-c69233ab2a52" xmlns:ns4="23781457-093b-407a-b85a-15f91c308921" targetNamespace="http://schemas.microsoft.com/office/2006/metadata/properties" ma:root="true" ma:fieldsID="0f1b5e5038e1dd7c689be6591916be30" ns1:_="" ns2:_="" ns3:_="" ns4:_="">
    <xsd:import namespace="http://schemas.microsoft.com/sharepoint/v3"/>
    <xsd:import namespace="a334ba3b-e131-42d3-95f3-2728f5a41884"/>
    <xsd:import namespace="6a7e9632-768a-49bf-85ac-c69233ab2a52"/>
    <xsd:import namespace="23781457-093b-407a-b85a-15f91c308921"/>
    <xsd:element name="properties">
      <xsd:complexType>
        <xsd:sequence>
          <xsd:element name="documentManagement">
            <xsd:complexType>
              <xsd:all>
                <xsd:element ref="ns2:Security_x0020_Classification" minOccurs="0"/>
                <xsd:element ref="ns1:RelatedIssues"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ssues" ma:index="8" nillable="true" ma:displayName="Related Issues" ma:list="Self" ma:internalName="RelatedIssu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enumeration value="OFFICIAL: Sensitive, National Cabinet"/>
            </xsd:restriction>
          </xsd:simpleType>
        </xsd:union>
      </xsd:simpleType>
    </xsd:element>
    <xsd:element name="Original_x0020_Date_x0020_Created" ma:index="9" nillable="true" ma:displayName="Original Date Created" ma:default="" ma:format="DateOnly" ma:internalName="Original_x0020_Date_x0020_Created">
      <xsd:simpleType>
        <xsd:restriction base="dms:DateTime"/>
      </xsd:simpleType>
    </xsd:element>
    <xsd:element name="TaxCatchAllLabel" ma:index="10" nillable="true" ma:displayName="Taxonomy Catch All Column1" ma:hidden="true" ma:list="{72befba2-3db1-4ef1-b6e2-8eb6f85e36b8}"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2"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4"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6"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1"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2befba2-3db1-4ef1-b6e2-8eb6f85e36b8}"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81457-093b-407a-b85a-15f91c30892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Value>
      <Value>2</Value>
      <Value>1</Value>
    </TaxCatchAll>
    <TaxKeywordTaxHTField xmlns="a334ba3b-e131-42d3-95f3-2728f5a41884">
      <Terms xmlns="http://schemas.microsoft.com/office/infopath/2007/PartnerControls"/>
    </TaxKeywordTaxHTField>
    <Original_x0020_Date_x0020_Created xmlns="a334ba3b-e131-42d3-95f3-2728f5a41884" xsi:nil="true"/>
    <_dlc_DocId xmlns="6a7e9632-768a-49bf-85ac-c69233ab2a52">FIN11577-125700226-2601</_dlc_DocId>
    <_dlc_DocIdUrl xmlns="6a7e9632-768a-49bf-85ac-c69233ab2a52">
      <Url>https://financegovau.sharepoint.com/sites/M365_DoF_51011577/_layouts/15/DocIdRedir.aspx?ID=FIN11577-125700226-2601</Url>
      <Description>FIN11577-125700226-2601</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Regulatory Reform</TermName>
          <TermId xmlns="http://schemas.microsoft.com/office/infopath/2007/PartnerControls">3b852ee8-507e-4306-acdc-36b5561031f4</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the Prime Minister and Cabinet</TermName>
          <TermId xmlns="http://schemas.microsoft.com/office/infopath/2007/PartnerControls">88371da0-dc77-4d74-b66f-50194b92dc49</TermId>
        </TermInfo>
      </Terms>
    </f0888ba7078d4a1bac90b097c1ed0fad>
    <RelatedIssues xmlns="http://schemas.microsoft.com/sharepoint/v3" xsi:nil="true"/>
    <lcf76f155ced4ddcb4097134ff3c332f xmlns="23781457-093b-407a-b85a-15f91c30892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DFD8-836F-44DB-8882-47283565F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23781457-093b-407a-b85a-15f91c30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2409D-0DFB-4972-8335-CA181838E9E3}">
  <ds:schemaRefs>
    <ds:schemaRef ds:uri="http://schemas.microsoft.com/sharepoint/v3/contenttype/forms"/>
  </ds:schemaRefs>
</ds:datastoreItem>
</file>

<file path=customXml/itemProps3.xml><?xml version="1.0" encoding="utf-8"?>
<ds:datastoreItem xmlns:ds="http://schemas.openxmlformats.org/officeDocument/2006/customXml" ds:itemID="{53DCE5B9-7BE8-4768-8E13-B07B5AD233D2}">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23781457-093b-407a-b85a-15f91c308921"/>
  </ds:schemaRefs>
</ds:datastoreItem>
</file>

<file path=customXml/itemProps4.xml><?xml version="1.0" encoding="utf-8"?>
<ds:datastoreItem xmlns:ds="http://schemas.openxmlformats.org/officeDocument/2006/customXml" ds:itemID="{3481C692-87E4-4F3E-913D-A1D281746DF6}">
  <ds:schemaRefs>
    <ds:schemaRef ds:uri="http://schemas.microsoft.com/sharepoint/events"/>
  </ds:schemaRefs>
</ds:datastoreItem>
</file>

<file path=customXml/itemProps5.xml><?xml version="1.0" encoding="utf-8"?>
<ds:datastoreItem xmlns:ds="http://schemas.openxmlformats.org/officeDocument/2006/customXml" ds:itemID="{7C4D18A7-19BD-4E31-818D-3EE44D77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Review of Australia’s regulatory settings relating to health practitioner registration and skills and qualifications recognition</dc:title>
  <dc:subject/>
  <dc:creator/>
  <cp:keywords/>
  <dc:description/>
  <cp:lastModifiedBy/>
  <cp:revision>2</cp:revision>
  <dcterms:created xsi:type="dcterms:W3CDTF">2023-01-09T01:40:00Z</dcterms:created>
  <dcterms:modified xsi:type="dcterms:W3CDTF">2023-01-09T01:40:00Z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0x010100B7B479F47583304BA8B631462CC772D700B969321B443C0F44B925CA0CB22FA06A</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3;#Department of the Prime Minister and Cabinet|88371da0-dc77-4d74-b66f-50194b92dc49</vt:lpwstr>
  </property>
  <property fmtid="{D5CDD505-2E9C-101B-9397-08002B2CF9AE}" pid="6" name="Function and Activity">
    <vt:lpwstr/>
  </property>
  <property fmtid="{D5CDD505-2E9C-101B-9397-08002B2CF9AE}" pid="7" name="OrgUnit">
    <vt:lpwstr>1;#Regulatory Reform|3b852ee8-507e-4306-acdc-36b5561031f4</vt:lpwstr>
  </property>
  <property fmtid="{D5CDD505-2E9C-101B-9397-08002B2CF9AE}" pid="8" name="_dlc_DocIdItemGuid">
    <vt:lpwstr>5f8e6dc1-6bd4-43de-9754-616a538c0a47</vt:lpwstr>
  </property>
  <property fmtid="{D5CDD505-2E9C-101B-9397-08002B2CF9AE}" pid="9" name="EmReceivedByName">
    <vt:lpwstr/>
  </property>
  <property fmtid="{D5CDD505-2E9C-101B-9397-08002B2CF9AE}" pid="10" name="EmSubject">
    <vt:lpwstr/>
  </property>
  <property fmtid="{D5CDD505-2E9C-101B-9397-08002B2CF9AE}" pid="11" name="EmToAddress">
    <vt:lpwstr/>
  </property>
  <property fmtid="{D5CDD505-2E9C-101B-9397-08002B2CF9AE}" pid="12" name="EmCategory">
    <vt:lpwstr/>
  </property>
  <property fmtid="{D5CDD505-2E9C-101B-9397-08002B2CF9AE}" pid="13" name="EmConversationIndex">
    <vt:lpwstr/>
  </property>
  <property fmtid="{D5CDD505-2E9C-101B-9397-08002B2CF9AE}" pid="14" name="EmBody">
    <vt:lpwstr/>
  </property>
  <property fmtid="{D5CDD505-2E9C-101B-9397-08002B2CF9AE}" pid="15" name="EmHasAttachments">
    <vt:bool>false</vt:bool>
  </property>
  <property fmtid="{D5CDD505-2E9C-101B-9397-08002B2CF9AE}" pid="16" name="EmCC">
    <vt:lpwstr/>
  </property>
  <property fmtid="{D5CDD505-2E9C-101B-9397-08002B2CF9AE}" pid="17" name="EmBCCSMTPAddress">
    <vt:lpwstr/>
  </property>
  <property fmtid="{D5CDD505-2E9C-101B-9397-08002B2CF9AE}" pid="18" name="EmFromName">
    <vt:lpwstr/>
  </property>
  <property fmtid="{D5CDD505-2E9C-101B-9397-08002B2CF9AE}" pid="19" name="About Entity">
    <vt:lpwstr>1;#Department of Finance|fd660e8f-8f31-49bd-92a3-d31d4da31afe</vt:lpwstr>
  </property>
  <property fmtid="{D5CDD505-2E9C-101B-9397-08002B2CF9AE}" pid="20" name="EmFrom">
    <vt:lpwstr/>
  </property>
  <property fmtid="{D5CDD505-2E9C-101B-9397-08002B2CF9AE}" pid="21" name="EmAttachmentNames">
    <vt:lpwstr/>
  </property>
  <property fmtid="{D5CDD505-2E9C-101B-9397-08002B2CF9AE}" pid="22" name="EmSentOnBehalfOfName">
    <vt:lpwstr/>
  </property>
  <property fmtid="{D5CDD505-2E9C-101B-9397-08002B2CF9AE}" pid="23" name="EmTo">
    <vt:lpwstr/>
  </property>
  <property fmtid="{D5CDD505-2E9C-101B-9397-08002B2CF9AE}" pid="24" name="EmToSMTPAddress">
    <vt:lpwstr/>
  </property>
  <property fmtid="{D5CDD505-2E9C-101B-9397-08002B2CF9AE}" pid="25" name="_ExtendedDescription">
    <vt:lpwstr/>
  </property>
  <property fmtid="{D5CDD505-2E9C-101B-9397-08002B2CF9AE}" pid="26" name="Initiating Entity">
    <vt:lpwstr>3;#Department of the Prime Minister and Cabinet|88371da0-dc77-4d74-b66f-50194b92dc49</vt:lpwstr>
  </property>
  <property fmtid="{D5CDD505-2E9C-101B-9397-08002B2CF9AE}" pid="27" name="Organisation Unit">
    <vt:lpwstr>2;#Regulatory Reform|3b852ee8-507e-4306-acdc-36b5561031f4</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MediaServiceImageTags">
    <vt:lpwstr/>
  </property>
  <property fmtid="{D5CDD505-2E9C-101B-9397-08002B2CF9AE}" pid="41" name="MSIP_Label_87d6481e-ccdd-4ab6-8b26-05a0df5699e7_Enabled">
    <vt:lpwstr>true</vt:lpwstr>
  </property>
  <property fmtid="{D5CDD505-2E9C-101B-9397-08002B2CF9AE}" pid="42" name="MSIP_Label_87d6481e-ccdd-4ab6-8b26-05a0df5699e7_SetDate">
    <vt:lpwstr>2023-01-09T01:40:15Z</vt:lpwstr>
  </property>
  <property fmtid="{D5CDD505-2E9C-101B-9397-08002B2CF9AE}" pid="43" name="MSIP_Label_87d6481e-ccdd-4ab6-8b26-05a0df5699e7_Method">
    <vt:lpwstr>Privileged</vt:lpwstr>
  </property>
  <property fmtid="{D5CDD505-2E9C-101B-9397-08002B2CF9AE}" pid="44" name="MSIP_Label_87d6481e-ccdd-4ab6-8b26-05a0df5699e7_Name">
    <vt:lpwstr>OFFICIAL</vt:lpwstr>
  </property>
  <property fmtid="{D5CDD505-2E9C-101B-9397-08002B2CF9AE}" pid="45" name="MSIP_Label_87d6481e-ccdd-4ab6-8b26-05a0df5699e7_SiteId">
    <vt:lpwstr>08954cee-4782-4ff6-9ad5-1997dccef4b0</vt:lpwstr>
  </property>
  <property fmtid="{D5CDD505-2E9C-101B-9397-08002B2CF9AE}" pid="46" name="MSIP_Label_87d6481e-ccdd-4ab6-8b26-05a0df5699e7_ActionId">
    <vt:lpwstr>0fb5f10b-441d-4e31-a142-977b5f6eea4d</vt:lpwstr>
  </property>
  <property fmtid="{D5CDD505-2E9C-101B-9397-08002B2CF9AE}" pid="47" name="MSIP_Label_87d6481e-ccdd-4ab6-8b26-05a0df5699e7_ContentBits">
    <vt:lpwstr>0</vt:lpwstr>
  </property>
</Properties>
</file>